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w:t>
      </w:r>
      <w:r>
        <w:rPr>
          <w:rFonts w:hint="eastAsia" w:ascii="黑体" w:hAnsi="黑体" w:eastAsia="黑体" w:cs="黑体"/>
          <w:sz w:val="52"/>
          <w:szCs w:val="52"/>
        </w:rPr>
        <w:t>1年度</w:t>
      </w:r>
    </w:p>
    <w:p>
      <w:pPr>
        <w:jc w:val="center"/>
        <w:rPr>
          <w:rFonts w:ascii="黑体" w:hAnsi="黑体" w:eastAsia="黑体" w:cs="黑体"/>
          <w:sz w:val="52"/>
          <w:szCs w:val="52"/>
        </w:rPr>
      </w:pPr>
      <w:r>
        <w:rPr>
          <w:rFonts w:hint="eastAsia" w:ascii="黑体" w:hAnsi="黑体" w:eastAsia="黑体" w:cs="黑体"/>
          <w:sz w:val="52"/>
          <w:szCs w:val="52"/>
        </w:rPr>
        <w:t>开封市人民医院（本级）决算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二〇二一年九月</w:t>
      </w:r>
    </w:p>
    <w:p>
      <w:pPr>
        <w:jc w:val="center"/>
        <w:rPr>
          <w:rFonts w:ascii="黑体" w:hAnsi="黑体" w:eastAsia="黑体" w:cs="黑体"/>
          <w:sz w:val="36"/>
          <w:szCs w:val="36"/>
        </w:rPr>
      </w:pPr>
      <w:r>
        <w:rPr>
          <w:rFonts w:hint="eastAsia" w:ascii="黑体" w:hAnsi="黑体" w:eastAsia="黑体" w:cs="黑体"/>
          <w:sz w:val="36"/>
          <w:szCs w:val="36"/>
        </w:rPr>
        <w:t>目　　录</w:t>
      </w:r>
    </w:p>
    <w:p>
      <w:pPr>
        <w:widowControl/>
        <w:jc w:val="left"/>
        <w:rPr>
          <w:sz w:val="32"/>
          <w:szCs w:val="32"/>
        </w:rPr>
      </w:pPr>
      <w:r>
        <w:rPr>
          <w:rFonts w:ascii="黑体" w:hAnsi="宋体" w:eastAsia="黑体" w:cs="黑体"/>
          <w:color w:val="000000"/>
          <w:kern w:val="0"/>
          <w:sz w:val="32"/>
          <w:szCs w:val="32"/>
          <w:lang w:bidi="ar"/>
        </w:rPr>
        <w:t xml:space="preserve">第一部分 </w:t>
      </w:r>
      <w:r>
        <w:rPr>
          <w:rFonts w:hint="eastAsia" w:ascii="黑体" w:hAnsi="宋体" w:eastAsia="黑体" w:cs="黑体"/>
          <w:color w:val="000000"/>
          <w:kern w:val="0"/>
          <w:sz w:val="32"/>
          <w:szCs w:val="32"/>
          <w:lang w:bidi="ar"/>
        </w:rPr>
        <w:t xml:space="preserve">开封市人民医院概况 </w:t>
      </w:r>
    </w:p>
    <w:p>
      <w:pPr>
        <w:widowControl/>
        <w:ind w:firstLine="640" w:firstLineChars="200"/>
        <w:jc w:val="left"/>
        <w:rPr>
          <w:sz w:val="32"/>
          <w:szCs w:val="32"/>
        </w:rPr>
      </w:pPr>
      <w:r>
        <w:rPr>
          <w:rFonts w:hint="eastAsia" w:ascii="宋体" w:hAnsi="宋体" w:cs="宋体"/>
          <w:color w:val="000000"/>
          <w:kern w:val="0"/>
          <w:sz w:val="32"/>
          <w:szCs w:val="32"/>
          <w:lang w:bidi="ar"/>
        </w:rPr>
        <w:t xml:space="preserve">一、部门职责 </w:t>
      </w:r>
    </w:p>
    <w:p>
      <w:pPr>
        <w:widowControl/>
        <w:ind w:firstLine="640" w:firstLineChars="200"/>
        <w:jc w:val="left"/>
        <w:rPr>
          <w:sz w:val="32"/>
          <w:szCs w:val="32"/>
        </w:rPr>
      </w:pPr>
      <w:r>
        <w:rPr>
          <w:rFonts w:hint="eastAsia" w:ascii="宋体" w:hAnsi="宋体" w:cs="宋体"/>
          <w:color w:val="000000"/>
          <w:kern w:val="0"/>
          <w:sz w:val="32"/>
          <w:szCs w:val="32"/>
          <w:lang w:bidi="ar"/>
        </w:rPr>
        <w:t xml:space="preserve">二、机构设置 </w:t>
      </w:r>
    </w:p>
    <w:p>
      <w:pPr>
        <w:jc w:val="left"/>
        <w:rPr>
          <w:rFonts w:ascii="黑体" w:hAnsi="黑体" w:eastAsia="黑体" w:cs="黑体"/>
          <w:sz w:val="32"/>
          <w:szCs w:val="32"/>
        </w:rPr>
      </w:pPr>
      <w:r>
        <w:rPr>
          <w:rFonts w:hint="eastAsia" w:ascii="黑体" w:hAnsi="黑体" w:eastAsia="黑体" w:cs="黑体"/>
          <w:sz w:val="32"/>
          <w:szCs w:val="32"/>
        </w:rPr>
        <w:t>第二部分  20</w:t>
      </w:r>
      <w:r>
        <w:rPr>
          <w:rFonts w:ascii="黑体" w:hAnsi="黑体" w:eastAsia="黑体" w:cs="黑体"/>
          <w:sz w:val="32"/>
          <w:szCs w:val="32"/>
        </w:rPr>
        <w:t>2</w:t>
      </w:r>
      <w:r>
        <w:rPr>
          <w:rFonts w:hint="eastAsia" w:ascii="黑体" w:hAnsi="黑体" w:eastAsia="黑体" w:cs="黑体"/>
          <w:sz w:val="32"/>
          <w:szCs w:val="32"/>
        </w:rPr>
        <w:t>1年度部门决算表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w:t>
      </w:r>
      <w:r>
        <w:rPr>
          <w:rFonts w:hint="eastAsia" w:ascii="黑体" w:hAnsi="黑体" w:eastAsia="黑体" w:cs="黑体"/>
          <w:sz w:val="32"/>
          <w:szCs w:val="32"/>
        </w:rPr>
        <w:t>1年度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开封市人民医院概况</w:t>
      </w:r>
    </w:p>
    <w:p>
      <w:pPr>
        <w:widowControl/>
        <w:ind w:firstLine="640" w:firstLineChars="200"/>
        <w:jc w:val="left"/>
        <w:outlineLvl w:val="1"/>
        <w:rPr>
          <w:rFonts w:ascii="黑体" w:hAnsi="黑体" w:eastAsia="黑体" w:cs="黑体"/>
          <w:kern w:val="0"/>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eastAsia="黑体" w:cs="黑体"/>
          <w:sz w:val="32"/>
          <w:szCs w:val="32"/>
          <w:lang w:val="en-US" w:eastAsia="zh-CN"/>
        </w:rPr>
        <w:t>部门</w:t>
      </w:r>
      <w:r>
        <w:rPr>
          <w:rFonts w:hint="eastAsia" w:ascii="黑体" w:hAnsi="黑体" w:eastAsia="黑体"/>
          <w:sz w:val="32"/>
          <w:szCs w:val="32"/>
        </w:rPr>
        <w:t>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开封市人民医院是开封市人民政府举办的大型公立三级综合性医院，承担着全市人民的医疗、预防、康复、保健任务。</w:t>
      </w:r>
    </w:p>
    <w:p>
      <w:pPr>
        <w:adjustRightInd w:val="0"/>
        <w:snapToGrid w:val="0"/>
        <w:spacing w:line="360" w:lineRule="auto"/>
        <w:ind w:firstLine="640" w:firstLineChars="200"/>
        <w:rPr>
          <w:rFonts w:hint="eastAsia" w:ascii="黑体" w:eastAsia="黑体" w:cs="黑体"/>
          <w:sz w:val="32"/>
          <w:szCs w:val="32"/>
          <w:lang w:val="en-US" w:eastAsia="zh-CN"/>
        </w:rPr>
      </w:pPr>
      <w:r>
        <w:rPr>
          <w:rFonts w:hint="eastAsia" w:ascii="黑体" w:eastAsia="黑体" w:cs="黑体"/>
          <w:sz w:val="32"/>
          <w:szCs w:val="32"/>
          <w:lang w:val="en-US" w:eastAsia="zh-CN"/>
        </w:rPr>
        <w:t>二、机构设置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院建设有门类齐全的专业体系，皮肤科、骨科是河南省医学重点培育专科，急诊医学科、重症医学科、心血管内科、神经内科和肾病风湿科是开封市医学重点专科，中医科是河南省中医重点专科。开封市人民医院开设两个院区，总占地面积80亩，其中东部院区位于顺河回族区汴京大道东段，建筑面积约5万平方米，开放床位1080张。西部院区位于城乡一体化示范区西环路中段，建筑面积约5000平方米，开放床位130张。东部院区设置有40个门诊科室、35个临床科室、12个医技科室和1个A级急救站。西部院区设置有12个门诊科室、8个病区和1个B级急救站。</w:t>
      </w:r>
    </w:p>
    <w:p>
      <w:pPr>
        <w:kinsoku w:val="0"/>
        <w:overflowPunct w:val="0"/>
        <w:autoSpaceDE w:val="0"/>
        <w:autoSpaceDN w:val="0"/>
        <w:adjustRightInd w:val="0"/>
        <w:snapToGrid w:val="0"/>
        <w:spacing w:line="360" w:lineRule="auto"/>
        <w:ind w:right="118" w:firstLine="648" w:firstLineChars="200"/>
        <w:jc w:val="left"/>
        <w:rPr>
          <w:rFonts w:ascii="仿宋_GB2312" w:eastAsia="仿宋_GB2312" w:cs="仿宋_GB2312"/>
          <w:spacing w:val="-1"/>
          <w:kern w:val="0"/>
          <w:sz w:val="32"/>
          <w:szCs w:val="32"/>
        </w:rPr>
      </w:pPr>
      <w:r>
        <w:rPr>
          <w:rFonts w:hint="eastAsia" w:ascii="仿宋_GB2312" w:eastAsia="仿宋_GB2312" w:cs="仿宋_GB2312"/>
          <w:spacing w:val="2"/>
          <w:kern w:val="0"/>
          <w:sz w:val="32"/>
          <w:szCs w:val="32"/>
          <w:lang w:eastAsia="zh-CN"/>
        </w:rPr>
        <w:t>（</w:t>
      </w:r>
      <w:r>
        <w:rPr>
          <w:rFonts w:hint="eastAsia" w:ascii="仿宋_GB2312" w:eastAsia="仿宋_GB2312" w:cs="仿宋_GB2312"/>
          <w:spacing w:val="2"/>
          <w:kern w:val="0"/>
          <w:sz w:val="32"/>
          <w:szCs w:val="32"/>
          <w:lang w:val="en-US" w:eastAsia="zh-CN"/>
        </w:rPr>
        <w:t>二</w:t>
      </w:r>
      <w:r>
        <w:rPr>
          <w:rFonts w:hint="eastAsia" w:ascii="仿宋_GB2312" w:eastAsia="仿宋_GB2312" w:cs="仿宋_GB2312"/>
          <w:spacing w:val="2"/>
          <w:kern w:val="0"/>
          <w:sz w:val="32"/>
          <w:szCs w:val="32"/>
          <w:lang w:eastAsia="zh-CN"/>
        </w:rPr>
        <w:t>）</w:t>
      </w:r>
      <w:r>
        <w:rPr>
          <w:rFonts w:hint="eastAsia" w:ascii="仿宋_GB2312" w:eastAsia="仿宋_GB2312" w:cs="仿宋_GB2312"/>
          <w:spacing w:val="2"/>
          <w:kern w:val="0"/>
          <w:sz w:val="32"/>
          <w:szCs w:val="32"/>
        </w:rPr>
        <w:t>开封市人民医院预算等级为地（市）级</w:t>
      </w:r>
      <w:r>
        <w:rPr>
          <w:rFonts w:hint="eastAsia" w:ascii="仿宋_GB2312" w:eastAsia="仿宋_GB2312" w:cs="仿宋_GB2312"/>
          <w:spacing w:val="-1"/>
          <w:kern w:val="0"/>
          <w:sz w:val="32"/>
          <w:szCs w:val="32"/>
        </w:rPr>
        <w:t>。</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w:t>
      </w:r>
      <w:r>
        <w:rPr>
          <w:rFonts w:ascii="黑体" w:hAnsi="黑体" w:eastAsia="黑体" w:cs="黑体"/>
          <w:sz w:val="48"/>
          <w:szCs w:val="48"/>
        </w:rPr>
        <w:t>2</w:t>
      </w:r>
      <w:r>
        <w:rPr>
          <w:rFonts w:hint="eastAsia" w:ascii="黑体" w:hAnsi="黑体" w:eastAsia="黑体" w:cs="黑体"/>
          <w:sz w:val="48"/>
          <w:szCs w:val="48"/>
        </w:rPr>
        <w:t>1年度部门决算表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3770"/>
        <w:gridCol w:w="1361"/>
        <w:gridCol w:w="1828"/>
        <w:gridCol w:w="4368"/>
        <w:gridCol w:w="814"/>
        <w:gridCol w:w="2033"/>
      </w:tblGrid>
      <w:tr>
        <w:tblPrEx>
          <w:tblCellMar>
            <w:top w:w="0" w:type="dxa"/>
            <w:left w:w="108" w:type="dxa"/>
            <w:bottom w:w="0" w:type="dxa"/>
            <w:right w:w="108" w:type="dxa"/>
          </w:tblCellMar>
        </w:tblPrEx>
        <w:trPr>
          <w:trHeight w:val="384" w:hRule="atLeast"/>
        </w:trPr>
        <w:tc>
          <w:tcPr>
            <w:tcW w:w="5000" w:type="pct"/>
            <w:gridSpan w:val="6"/>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收入支出决算总表</w:t>
            </w:r>
          </w:p>
        </w:tc>
      </w:tr>
      <w:tr>
        <w:tblPrEx>
          <w:tblCellMar>
            <w:top w:w="0" w:type="dxa"/>
            <w:left w:w="108" w:type="dxa"/>
            <w:bottom w:w="0" w:type="dxa"/>
            <w:right w:w="108" w:type="dxa"/>
          </w:tblCellMar>
        </w:tblPrEx>
        <w:trPr>
          <w:trHeight w:val="264" w:hRule="atLeast"/>
        </w:trPr>
        <w:tc>
          <w:tcPr>
            <w:tcW w:w="133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80" w:type="pct"/>
            <w:tcBorders>
              <w:top w:val="nil"/>
              <w:left w:val="nil"/>
              <w:bottom w:val="nil"/>
              <w:right w:val="nil"/>
            </w:tcBorders>
            <w:shd w:val="clear" w:color="auto" w:fill="auto"/>
            <w:noWrap/>
            <w:vAlign w:val="bottom"/>
          </w:tcPr>
          <w:p/>
        </w:tc>
        <w:tc>
          <w:tcPr>
            <w:tcW w:w="644" w:type="pct"/>
            <w:tcBorders>
              <w:top w:val="nil"/>
              <w:left w:val="nil"/>
              <w:bottom w:val="nil"/>
              <w:right w:val="nil"/>
            </w:tcBorders>
            <w:shd w:val="clear" w:color="auto" w:fill="auto"/>
            <w:noWrap/>
            <w:vAlign w:val="bottom"/>
          </w:tcPr>
          <w:p/>
        </w:tc>
        <w:tc>
          <w:tcPr>
            <w:tcW w:w="1541" w:type="pct"/>
            <w:tcBorders>
              <w:top w:val="nil"/>
              <w:left w:val="nil"/>
              <w:bottom w:val="nil"/>
              <w:right w:val="nil"/>
            </w:tcBorders>
            <w:shd w:val="clear" w:color="auto" w:fill="auto"/>
            <w:noWrap/>
            <w:vAlign w:val="bottom"/>
          </w:tcPr>
          <w:p/>
        </w:tc>
        <w:tc>
          <w:tcPr>
            <w:tcW w:w="287" w:type="pct"/>
            <w:tcBorders>
              <w:top w:val="nil"/>
              <w:left w:val="nil"/>
              <w:bottom w:val="nil"/>
              <w:right w:val="nil"/>
            </w:tcBorders>
            <w:shd w:val="clear" w:color="auto" w:fill="auto"/>
            <w:noWrap/>
            <w:vAlign w:val="bottom"/>
          </w:tcPr>
          <w:p/>
        </w:tc>
        <w:tc>
          <w:tcPr>
            <w:tcW w:w="715"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108" w:type="dxa"/>
            <w:bottom w:w="0" w:type="dxa"/>
            <w:right w:w="108" w:type="dxa"/>
          </w:tblCellMar>
        </w:tblPrEx>
        <w:trPr>
          <w:trHeight w:val="264" w:hRule="atLeast"/>
        </w:trPr>
        <w:tc>
          <w:tcPr>
            <w:tcW w:w="1330" w:type="pct"/>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部门：开封市人民医院</w:t>
            </w:r>
          </w:p>
        </w:tc>
        <w:tc>
          <w:tcPr>
            <w:tcW w:w="480" w:type="pct"/>
            <w:tcBorders>
              <w:top w:val="nil"/>
              <w:left w:val="nil"/>
              <w:bottom w:val="nil"/>
              <w:right w:val="nil"/>
            </w:tcBorders>
            <w:shd w:val="clear" w:color="auto" w:fill="auto"/>
            <w:noWrap/>
            <w:vAlign w:val="bottom"/>
          </w:tcPr>
          <w:p/>
        </w:tc>
        <w:tc>
          <w:tcPr>
            <w:tcW w:w="644" w:type="pct"/>
            <w:tcBorders>
              <w:top w:val="nil"/>
              <w:left w:val="nil"/>
              <w:bottom w:val="nil"/>
              <w:right w:val="nil"/>
            </w:tcBorders>
            <w:shd w:val="clear" w:color="auto" w:fill="auto"/>
            <w:noWrap/>
            <w:vAlign w:val="bottom"/>
          </w:tcPr>
          <w:p/>
        </w:tc>
        <w:tc>
          <w:tcPr>
            <w:tcW w:w="1541" w:type="pct"/>
            <w:tcBorders>
              <w:top w:val="nil"/>
              <w:left w:val="nil"/>
              <w:bottom w:val="nil"/>
              <w:right w:val="nil"/>
            </w:tcBorders>
            <w:shd w:val="clear" w:color="auto" w:fill="auto"/>
            <w:noWrap/>
            <w:vAlign w:val="bottom"/>
          </w:tcPr>
          <w:p/>
        </w:tc>
        <w:tc>
          <w:tcPr>
            <w:tcW w:w="287" w:type="pct"/>
            <w:tcBorders>
              <w:top w:val="nil"/>
              <w:left w:val="nil"/>
              <w:bottom w:val="nil"/>
              <w:right w:val="nil"/>
            </w:tcBorders>
            <w:shd w:val="clear" w:color="auto" w:fill="auto"/>
            <w:noWrap/>
            <w:vAlign w:val="bottom"/>
          </w:tcPr>
          <w:p/>
        </w:tc>
        <w:tc>
          <w:tcPr>
            <w:tcW w:w="715"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2455"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收入</w:t>
            </w:r>
          </w:p>
        </w:tc>
        <w:tc>
          <w:tcPr>
            <w:tcW w:w="2544"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支出</w:t>
            </w: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行次</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金额</w:t>
            </w: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项目</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行次</w:t>
            </w:r>
          </w:p>
        </w:tc>
        <w:tc>
          <w:tcPr>
            <w:tcW w:w="715"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金额</w:t>
            </w:r>
          </w:p>
        </w:tc>
      </w:tr>
      <w:tr>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jc w:val="center"/>
            </w:pP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1</w:t>
            </w: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栏次</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jc w:val="center"/>
            </w:pPr>
          </w:p>
        </w:tc>
        <w:tc>
          <w:tcPr>
            <w:tcW w:w="715"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一、一般公共预算财政拨款收入</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1</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right"/>
              <w:textAlignment w:val="center"/>
            </w:pPr>
            <w:r>
              <w:rPr>
                <w:rFonts w:hint="eastAsia" w:ascii="宋体" w:hAnsi="宋体" w:cs="宋体"/>
                <w:color w:val="000000"/>
                <w:kern w:val="0"/>
                <w:sz w:val="22"/>
                <w:lang w:bidi="ar"/>
              </w:rPr>
              <w:t>2,185.53</w:t>
            </w: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一、一般公共服务支出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32</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二、政府性基金预算财政拨款收入</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2</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二、外交支出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33</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三、国有资本经营预算财政拨款收入</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3</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三、国防支出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34</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四、上级补助收入</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4</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四、公共安全支出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35</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五、事业收入</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5</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right"/>
              <w:textAlignment w:val="center"/>
            </w:pPr>
            <w:r>
              <w:rPr>
                <w:rFonts w:hint="eastAsia" w:ascii="宋体" w:hAnsi="宋体" w:cs="宋体"/>
                <w:color w:val="000000"/>
                <w:kern w:val="0"/>
                <w:sz w:val="22"/>
                <w:lang w:bidi="ar"/>
              </w:rPr>
              <w:t>49,519.20</w:t>
            </w: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五、教育支出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36</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六、经营收入</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6</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六、科学技术支出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37</w:t>
            </w:r>
          </w:p>
        </w:tc>
        <w:tc>
          <w:tcPr>
            <w:tcW w:w="715" w:type="pct"/>
            <w:tcBorders>
              <w:top w:val="nil"/>
              <w:left w:val="nil"/>
              <w:bottom w:val="single" w:color="000000" w:sz="4" w:space="0"/>
              <w:right w:val="single" w:color="000000" w:sz="4" w:space="0"/>
            </w:tcBorders>
            <w:shd w:val="clear" w:color="FFFFFF" w:fill="C0C0C0"/>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r>
      <w:tr>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七、附属单位上缴收入</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7</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七、文化旅游体育与传媒支出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38</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八、其他收入</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8</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right"/>
              <w:textAlignment w:val="center"/>
            </w:pPr>
            <w:r>
              <w:rPr>
                <w:rFonts w:hint="eastAsia" w:ascii="宋体" w:hAnsi="宋体" w:cs="宋体"/>
                <w:color w:val="000000"/>
                <w:kern w:val="0"/>
                <w:sz w:val="22"/>
                <w:lang w:bidi="ar"/>
              </w:rPr>
              <w:t>26,515.96</w:t>
            </w: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八、社会保障和就业支出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39</w:t>
            </w:r>
          </w:p>
        </w:tc>
        <w:tc>
          <w:tcPr>
            <w:tcW w:w="715" w:type="pct"/>
            <w:tcBorders>
              <w:top w:val="nil"/>
              <w:left w:val="nil"/>
              <w:bottom w:val="single" w:color="000000" w:sz="4" w:space="0"/>
              <w:right w:val="single" w:color="000000" w:sz="4" w:space="0"/>
            </w:tcBorders>
            <w:shd w:val="clear" w:color="FFFFFF" w:fill="C0C0C0"/>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r>
      <w:tr>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9</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九、卫生健康支出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40</w:t>
            </w:r>
          </w:p>
        </w:tc>
        <w:tc>
          <w:tcPr>
            <w:tcW w:w="715" w:type="pct"/>
            <w:tcBorders>
              <w:top w:val="nil"/>
              <w:left w:val="nil"/>
              <w:bottom w:val="single" w:color="000000" w:sz="4" w:space="0"/>
              <w:right w:val="single" w:color="000000" w:sz="4" w:space="0"/>
            </w:tcBorders>
            <w:shd w:val="clear" w:color="FFFFFF" w:fill="C0C0C0"/>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81,408.11</w:t>
            </w: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10</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十、节能环保支出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41</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11</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十一、城乡社区支出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42</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12</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十二、农林水支出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43</w:t>
            </w:r>
          </w:p>
        </w:tc>
        <w:tc>
          <w:tcPr>
            <w:tcW w:w="715" w:type="pct"/>
            <w:tcBorders>
              <w:top w:val="nil"/>
              <w:left w:val="nil"/>
              <w:bottom w:val="single" w:color="000000" w:sz="4" w:space="0"/>
              <w:right w:val="single" w:color="000000" w:sz="4" w:space="0"/>
            </w:tcBorders>
            <w:shd w:val="clear" w:color="FFFFFF" w:fill="C0C0C0"/>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13</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十三、交通运输支出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44</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14</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十四、资源勘探工业信息等支出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45</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15</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十五、商业服务业等支出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46</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16</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十六、金融支出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47</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17</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十七、援助其他地区支出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48</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18</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十八、自然资源海洋气象等支出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49</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19</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十九、住房保障支出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50</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20</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二十、粮油物资储备支出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51</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21</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二十一、国有资本经营预算支出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52</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22</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二十二、灾害防治及应急管理支出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53</w:t>
            </w:r>
          </w:p>
        </w:tc>
        <w:tc>
          <w:tcPr>
            <w:tcW w:w="715" w:type="pct"/>
            <w:tcBorders>
              <w:top w:val="nil"/>
              <w:left w:val="nil"/>
              <w:bottom w:val="single" w:color="000000" w:sz="4" w:space="0"/>
              <w:right w:val="single" w:color="000000" w:sz="4" w:space="0"/>
            </w:tcBorders>
            <w:shd w:val="clear" w:color="FFFFFF" w:fill="C0C0C0"/>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23</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二十三、其他支出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54</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宋体"/>
                <w:b/>
                <w:bCs/>
                <w:color w:val="000000"/>
                <w:sz w:val="20"/>
                <w:szCs w:val="20"/>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0"/>
                <w:szCs w:val="20"/>
                <w:lang w:bidi="ar"/>
              </w:rPr>
              <w:t>24</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二十四、债务还本支出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55</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0"/>
                <w:szCs w:val="20"/>
                <w:lang w:bidi="ar"/>
              </w:rPr>
              <w:t>25</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二十五、债务付息支出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56</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0"/>
                <w:szCs w:val="20"/>
                <w:lang w:bidi="ar"/>
              </w:rPr>
              <w:t>26</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二十六、抗疫特别国债安排的支出</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57</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本年收入合计</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27</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right"/>
              <w:textAlignment w:val="center"/>
            </w:pPr>
            <w:r>
              <w:rPr>
                <w:rFonts w:hint="eastAsia" w:ascii="宋体" w:hAnsi="宋体" w:cs="宋体"/>
                <w:color w:val="000000"/>
                <w:kern w:val="0"/>
                <w:sz w:val="22"/>
                <w:lang w:bidi="ar"/>
              </w:rPr>
              <w:t>78,220.70</w:t>
            </w: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b/>
                <w:bCs/>
                <w:color w:val="000000"/>
                <w:kern w:val="0"/>
                <w:sz w:val="22"/>
                <w:lang w:bidi="ar"/>
              </w:rPr>
              <w:t>本年支出合计</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58</w:t>
            </w:r>
          </w:p>
        </w:tc>
        <w:tc>
          <w:tcPr>
            <w:tcW w:w="715" w:type="pct"/>
            <w:tcBorders>
              <w:top w:val="nil"/>
              <w:left w:val="nil"/>
              <w:bottom w:val="single" w:color="000000" w:sz="4" w:space="0"/>
              <w:right w:val="single" w:color="000000" w:sz="4" w:space="0"/>
            </w:tcBorders>
            <w:shd w:val="clear" w:color="FFFFFF" w:fill="C0C0C0"/>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81,652.74</w:t>
            </w: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使用非财政拨款结余</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28</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结余分配</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59</w:t>
            </w:r>
          </w:p>
        </w:tc>
        <w:tc>
          <w:tcPr>
            <w:tcW w:w="71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年初结转和结余</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29</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right"/>
              <w:textAlignment w:val="center"/>
            </w:pPr>
            <w:r>
              <w:rPr>
                <w:rFonts w:hint="eastAsia" w:ascii="宋体" w:hAnsi="宋体" w:cs="宋体"/>
                <w:color w:val="000000"/>
                <w:kern w:val="0"/>
                <w:sz w:val="22"/>
                <w:lang w:bidi="ar"/>
              </w:rPr>
              <w:t>11,050.48</w:t>
            </w: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pPr>
            <w:r>
              <w:rPr>
                <w:rFonts w:hint="eastAsia" w:ascii="宋体" w:hAnsi="宋体" w:cs="宋体"/>
                <w:color w:val="000000"/>
                <w:kern w:val="0"/>
                <w:sz w:val="22"/>
                <w:lang w:bidi="ar"/>
              </w:rPr>
              <w:t>年末结转和结余</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60</w:t>
            </w:r>
          </w:p>
        </w:tc>
        <w:tc>
          <w:tcPr>
            <w:tcW w:w="715" w:type="pct"/>
            <w:tcBorders>
              <w:top w:val="nil"/>
              <w:left w:val="nil"/>
              <w:bottom w:val="single" w:color="000000" w:sz="4" w:space="0"/>
              <w:right w:val="single" w:color="000000" w:sz="4" w:space="0"/>
            </w:tcBorders>
            <w:shd w:val="clear" w:color="FFFFFF" w:fill="C0C0C0"/>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7,618.44</w:t>
            </w: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30</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jc w:val="left"/>
            </w:pP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61</w:t>
            </w:r>
          </w:p>
        </w:tc>
        <w:tc>
          <w:tcPr>
            <w:tcW w:w="715"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31</w:t>
            </w:r>
          </w:p>
        </w:tc>
        <w:tc>
          <w:tcPr>
            <w:tcW w:w="6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right"/>
              <w:textAlignment w:val="center"/>
            </w:pPr>
            <w:r>
              <w:rPr>
                <w:rFonts w:hint="eastAsia" w:ascii="宋体" w:hAnsi="宋体" w:cs="宋体"/>
                <w:color w:val="000000"/>
                <w:kern w:val="0"/>
                <w:sz w:val="22"/>
                <w:lang w:bidi="ar"/>
              </w:rPr>
              <w:t>89,271.18</w:t>
            </w:r>
          </w:p>
        </w:tc>
        <w:tc>
          <w:tcPr>
            <w:tcW w:w="154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b/>
                <w:bCs/>
                <w:color w:val="000000"/>
                <w:kern w:val="0"/>
                <w:sz w:val="22"/>
                <w:lang w:bidi="ar"/>
              </w:rPr>
              <w:t>总计</w:t>
            </w:r>
          </w:p>
        </w:tc>
        <w:tc>
          <w:tcPr>
            <w:tcW w:w="2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pPr>
            <w:r>
              <w:rPr>
                <w:rFonts w:hint="eastAsia" w:ascii="宋体" w:hAnsi="宋体" w:cs="宋体"/>
                <w:color w:val="000000"/>
                <w:kern w:val="0"/>
                <w:sz w:val="22"/>
                <w:lang w:bidi="ar"/>
              </w:rPr>
              <w:t>62</w:t>
            </w:r>
          </w:p>
        </w:tc>
        <w:tc>
          <w:tcPr>
            <w:tcW w:w="715" w:type="pct"/>
            <w:tcBorders>
              <w:top w:val="nil"/>
              <w:left w:val="nil"/>
              <w:bottom w:val="single" w:color="000000" w:sz="8" w:space="0"/>
              <w:right w:val="single" w:color="000000" w:sz="4" w:space="0"/>
            </w:tcBorders>
            <w:shd w:val="clear" w:color="FFFFFF" w:fill="C0C0C0"/>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89,271.18</w:t>
            </w:r>
          </w:p>
        </w:tc>
      </w:tr>
      <w:tr>
        <w:tblPrEx>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注：本表反映部门本年度的总收支和年末结转结余情况。本套报表金额单位转换时可能存在尾数误差。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0" w:type="auto"/>
        <w:tblInd w:w="0" w:type="dxa"/>
        <w:tblLayout w:type="autofit"/>
        <w:tblCellMar>
          <w:top w:w="0" w:type="dxa"/>
          <w:left w:w="108" w:type="dxa"/>
          <w:bottom w:w="0" w:type="dxa"/>
          <w:right w:w="108" w:type="dxa"/>
        </w:tblCellMar>
      </w:tblPr>
      <w:tblGrid>
        <w:gridCol w:w="2216"/>
        <w:gridCol w:w="222"/>
        <w:gridCol w:w="222"/>
        <w:gridCol w:w="3076"/>
        <w:gridCol w:w="1371"/>
        <w:gridCol w:w="1315"/>
        <w:gridCol w:w="974"/>
        <w:gridCol w:w="1214"/>
        <w:gridCol w:w="759"/>
        <w:gridCol w:w="1189"/>
        <w:gridCol w:w="1616"/>
      </w:tblGrid>
      <w:tr>
        <w:tblPrEx>
          <w:tblCellMar>
            <w:top w:w="0" w:type="dxa"/>
            <w:left w:w="108" w:type="dxa"/>
            <w:bottom w:w="0" w:type="dxa"/>
            <w:right w:w="108" w:type="dxa"/>
          </w:tblCellMar>
        </w:tblPrEx>
        <w:trPr>
          <w:trHeight w:val="384" w:hRule="atLeast"/>
        </w:trPr>
        <w:tc>
          <w:tcPr>
            <w:tcW w:w="0" w:type="auto"/>
            <w:gridSpan w:val="11"/>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收入决算表</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部门：开封市人民医院</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本年收入合计</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财政拨款收入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上级补助收入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事业收入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经营收入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其他收入</w:t>
            </w:r>
          </w:p>
        </w:tc>
      </w:tr>
      <w:tr>
        <w:tblPrEx>
          <w:tblCellMar>
            <w:top w:w="0" w:type="dxa"/>
            <w:left w:w="108" w:type="dxa"/>
            <w:bottom w:w="0" w:type="dxa"/>
            <w:right w:w="108" w:type="dxa"/>
          </w:tblCellMar>
        </w:tblPrEx>
        <w:trPr>
          <w:trHeight w:val="312"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r>
      <w:tr>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78,220.70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2,185.53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49,519.20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26,515.96</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20604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技术研究与开发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2060499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其他技术研究与开发支出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78,119.20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2,084.03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49,519.20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26,515.96</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卫生健康管理事务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2100102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公立医院</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77,532.32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1,528.44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49,519.20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26,484.67</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2100201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综合医院</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77,455.32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1,451.44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49,519.20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26,484.67</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2100211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处理医疗欠费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2100299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其他公立医院支出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基层医疗卫生机构</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338.10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338.10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2100399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其他基层医疗卫生机构支出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338.10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338.10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134.78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108.49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26.29</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3.60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2100409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重大公共卫生服务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2100410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突发公共卫生事件应急处理</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129.19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102.90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26.29</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109.00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104.00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2109999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109.00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104.00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21305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22407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自然灾害救灾及恢复重建支出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2240704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自然灾害灾后重建补助</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rPr>
          <w:trHeight w:val="308" w:hRule="atLeast"/>
        </w:trPr>
        <w:tc>
          <w:tcPr>
            <w:tcW w:w="0" w:type="auto"/>
            <w:gridSpan w:val="11"/>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注：本表反映部门本年度取得的各项收入情况。</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0" w:type="auto"/>
        <w:tblInd w:w="0" w:type="dxa"/>
        <w:tblLayout w:type="autofit"/>
        <w:tblCellMar>
          <w:top w:w="0" w:type="dxa"/>
          <w:left w:w="108" w:type="dxa"/>
          <w:bottom w:w="0" w:type="dxa"/>
          <w:right w:w="108" w:type="dxa"/>
        </w:tblCellMar>
      </w:tblPr>
      <w:tblGrid>
        <w:gridCol w:w="2216"/>
        <w:gridCol w:w="222"/>
        <w:gridCol w:w="222"/>
        <w:gridCol w:w="3956"/>
        <w:gridCol w:w="1411"/>
        <w:gridCol w:w="1214"/>
        <w:gridCol w:w="1013"/>
        <w:gridCol w:w="1109"/>
        <w:gridCol w:w="840"/>
        <w:gridCol w:w="1971"/>
      </w:tblGrid>
      <w:tr>
        <w:tblPrEx>
          <w:tblCellMar>
            <w:top w:w="0" w:type="dxa"/>
            <w:left w:w="108" w:type="dxa"/>
            <w:bottom w:w="0" w:type="dxa"/>
            <w:right w:w="108" w:type="dxa"/>
          </w:tblCellMar>
        </w:tblPrEx>
        <w:trPr>
          <w:trHeight w:val="384" w:hRule="atLeast"/>
        </w:trPr>
        <w:tc>
          <w:tcPr>
            <w:tcW w:w="0" w:type="auto"/>
            <w:gridSpan w:val="10"/>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支出决算表</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部门：开封市人民医院</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上缴上级支出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经营支出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对附属单位补助支出</w:t>
            </w:r>
          </w:p>
        </w:tc>
      </w:tr>
      <w:tr>
        <w:tblPrEx>
          <w:tblCellMar>
            <w:top w:w="0" w:type="dxa"/>
            <w:left w:w="108" w:type="dxa"/>
            <w:bottom w:w="0" w:type="dxa"/>
            <w:right w:w="108" w:type="dxa"/>
          </w:tblCellMar>
        </w:tblPrEx>
        <w:trPr>
          <w:trHeight w:val="312"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81,652.74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80,849.74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803.00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20604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技术研究与开发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2060499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其他技术研究与开发支出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81,408.11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80,694.74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713.37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卫生健康管理事务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2100102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公立医院</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80,859.86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80,665.56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194.30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2100201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综合医院</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80,532.86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80,415.56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117.30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2100211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处理医疗欠费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2100299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其他公立医院支出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326.00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基层医疗卫生机构</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358.87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358.87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2100399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其他基层医疗卫生机构支出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358.87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358.87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77.49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51.20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2100410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突发公共卫生事件应急处理</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106.89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104.00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2109999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106.89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104.00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21301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21305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22407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自然灾害救灾及恢复重建支出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2240704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自然灾害灾后重建补助</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注：本表反映部门本年度各项支出情况。</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0" w:type="auto"/>
        <w:tblInd w:w="0" w:type="dxa"/>
        <w:tblLayout w:type="fixed"/>
        <w:tblCellMar>
          <w:top w:w="0" w:type="dxa"/>
          <w:left w:w="108" w:type="dxa"/>
          <w:bottom w:w="0" w:type="dxa"/>
          <w:right w:w="108" w:type="dxa"/>
        </w:tblCellMar>
      </w:tblPr>
      <w:tblGrid>
        <w:gridCol w:w="2889"/>
        <w:gridCol w:w="627"/>
        <w:gridCol w:w="1151"/>
        <w:gridCol w:w="3187"/>
        <w:gridCol w:w="627"/>
        <w:gridCol w:w="1373"/>
        <w:gridCol w:w="1607"/>
        <w:gridCol w:w="1356"/>
        <w:gridCol w:w="1250"/>
      </w:tblGrid>
      <w:tr>
        <w:tblPrEx>
          <w:tblCellMar>
            <w:top w:w="0" w:type="dxa"/>
            <w:left w:w="108" w:type="dxa"/>
            <w:bottom w:w="0" w:type="dxa"/>
            <w:right w:w="108" w:type="dxa"/>
          </w:tblCellMar>
        </w:tblPrEx>
        <w:trPr>
          <w:trHeight w:val="384" w:hRule="atLeast"/>
        </w:trPr>
        <w:tc>
          <w:tcPr>
            <w:tcW w:w="14067" w:type="dxa"/>
            <w:gridSpan w:val="9"/>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财政拨款收入支出决算总表</w:t>
            </w:r>
          </w:p>
        </w:tc>
      </w:tr>
      <w:tr>
        <w:tblPrEx>
          <w:tblCellMar>
            <w:top w:w="0" w:type="dxa"/>
            <w:left w:w="108" w:type="dxa"/>
            <w:bottom w:w="0" w:type="dxa"/>
            <w:right w:w="108" w:type="dxa"/>
          </w:tblCellMar>
        </w:tblPrEx>
        <w:trPr>
          <w:trHeight w:val="264" w:hRule="atLeast"/>
        </w:trPr>
        <w:tc>
          <w:tcPr>
            <w:tcW w:w="288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2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5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8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2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5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50" w:type="dxa"/>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108" w:type="dxa"/>
            <w:bottom w:w="0" w:type="dxa"/>
            <w:right w:w="108" w:type="dxa"/>
          </w:tblCellMar>
        </w:tblPrEx>
        <w:trPr>
          <w:trHeight w:val="264" w:hRule="atLeast"/>
        </w:trPr>
        <w:tc>
          <w:tcPr>
            <w:tcW w:w="2889" w:type="dxa"/>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部门：开封市人民医院</w:t>
            </w:r>
          </w:p>
        </w:tc>
        <w:tc>
          <w:tcPr>
            <w:tcW w:w="62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5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8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2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606" w:type="dxa"/>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4667"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收     入</w:t>
            </w:r>
          </w:p>
        </w:tc>
        <w:tc>
          <w:tcPr>
            <w:tcW w:w="9400" w:type="dxa"/>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支     出</w:t>
            </w:r>
          </w:p>
        </w:tc>
      </w:tr>
      <w:tr>
        <w:tblPrEx>
          <w:tblCellMar>
            <w:top w:w="0" w:type="dxa"/>
            <w:left w:w="108" w:type="dxa"/>
            <w:bottom w:w="0" w:type="dxa"/>
            <w:right w:w="108" w:type="dxa"/>
          </w:tblCellMar>
        </w:tblPrEx>
        <w:trPr>
          <w:trHeight w:val="312" w:hRule="atLeast"/>
        </w:trPr>
        <w:tc>
          <w:tcPr>
            <w:tcW w:w="2889"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627"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1151"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金额</w:t>
            </w:r>
          </w:p>
        </w:tc>
        <w:tc>
          <w:tcPr>
            <w:tcW w:w="3187"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627"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1373" w:type="dxa"/>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607"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一般公共预算财政拨款</w:t>
            </w:r>
          </w:p>
        </w:tc>
        <w:tc>
          <w:tcPr>
            <w:tcW w:w="1356"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政府性基金预算财政拨款</w:t>
            </w:r>
          </w:p>
        </w:tc>
        <w:tc>
          <w:tcPr>
            <w:tcW w:w="125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国有资本经营预算财政拨款</w:t>
            </w:r>
          </w:p>
        </w:tc>
      </w:tr>
      <w:tr>
        <w:tblPrEx>
          <w:tblCellMar>
            <w:top w:w="0" w:type="dxa"/>
            <w:left w:w="108" w:type="dxa"/>
            <w:bottom w:w="0" w:type="dxa"/>
            <w:right w:w="108" w:type="dxa"/>
          </w:tblCellMar>
        </w:tblPrEx>
        <w:trPr>
          <w:trHeight w:val="615" w:hRule="atLeast"/>
        </w:trPr>
        <w:tc>
          <w:tcPr>
            <w:tcW w:w="2889"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627"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1151"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3187"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627"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137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rPr>
            </w:pPr>
          </w:p>
        </w:tc>
        <w:tc>
          <w:tcPr>
            <w:tcW w:w="1607"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1356"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125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627"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rPr>
            </w:pPr>
          </w:p>
        </w:tc>
        <w:tc>
          <w:tcPr>
            <w:tcW w:w="1151"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627"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rPr>
            </w:pPr>
          </w:p>
        </w:tc>
        <w:tc>
          <w:tcPr>
            <w:tcW w:w="1373"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0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356"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250"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一、一般公共预算财政拨款</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15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2,185.53</w:t>
            </w: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一、一般公共服务支出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二、政府性基金预算财政拨款</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二、外交支出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34</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三、国有资本经营财政拨款</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三、国防支出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35</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四、公共安全支出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36</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五、教育支出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37</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六、科学技术支出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38</w:t>
            </w:r>
          </w:p>
        </w:tc>
        <w:tc>
          <w:tcPr>
            <w:tcW w:w="137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七、文化旅游体育与传媒支出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39</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八、社会保障和就业支出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40</w:t>
            </w:r>
          </w:p>
        </w:tc>
        <w:tc>
          <w:tcPr>
            <w:tcW w:w="137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九、卫生健康支出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41</w:t>
            </w:r>
          </w:p>
        </w:tc>
        <w:tc>
          <w:tcPr>
            <w:tcW w:w="137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2,297.51</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2,297.51</w:t>
            </w: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十、节能环保支出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42</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十一、城乡社区支出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43</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十二、农林水支出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44</w:t>
            </w:r>
          </w:p>
        </w:tc>
        <w:tc>
          <w:tcPr>
            <w:tcW w:w="137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十三、交通运输支出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45</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十四、资源勘探工业信息等支出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46</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十五、商业服务业等支出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47</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十六、金融支出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48</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十七、援助其他地区支出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49</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十八、自然资源海洋气象等支出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50</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十九、住房保障支出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51</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二十、粮油物资储备支出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52</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二十一、国有资本经营预算支出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53</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22</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二十二、灾害防治及应急管理支出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54</w:t>
            </w:r>
          </w:p>
        </w:tc>
        <w:tc>
          <w:tcPr>
            <w:tcW w:w="137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23</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二十三、其他支出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55</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宋体"/>
                <w:b/>
                <w:bCs/>
                <w:color w:val="000000"/>
                <w:sz w:val="20"/>
                <w:szCs w:val="20"/>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24</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二十四、债务还本支出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56</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25</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二十五、债务付息支出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57</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26</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二十六、抗疫特别国债安排的支出</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58</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本年收入合计</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27</w:t>
            </w:r>
          </w:p>
        </w:tc>
        <w:tc>
          <w:tcPr>
            <w:tcW w:w="115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2,185.53</w:t>
            </w: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本年支出合计</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59</w:t>
            </w:r>
          </w:p>
        </w:tc>
        <w:tc>
          <w:tcPr>
            <w:tcW w:w="137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2,542.14</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2,542.14</w:t>
            </w: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年初财政拨款结转和结余</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28</w:t>
            </w:r>
          </w:p>
        </w:tc>
        <w:tc>
          <w:tcPr>
            <w:tcW w:w="115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527.13</w:t>
            </w: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年末财政拨款结转和结余</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60</w:t>
            </w:r>
          </w:p>
        </w:tc>
        <w:tc>
          <w:tcPr>
            <w:tcW w:w="137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170.52</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170.52</w:t>
            </w: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一般公共预算财政拨款</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29</w:t>
            </w:r>
          </w:p>
        </w:tc>
        <w:tc>
          <w:tcPr>
            <w:tcW w:w="115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527.13</w:t>
            </w:r>
          </w:p>
        </w:tc>
        <w:tc>
          <w:tcPr>
            <w:tcW w:w="3187"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61</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政府性基金预算财政拨款</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62</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国有资本经营预算财政拨款</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31</w:t>
            </w:r>
          </w:p>
        </w:tc>
        <w:tc>
          <w:tcPr>
            <w:tcW w:w="11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187"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63</w:t>
            </w:r>
          </w:p>
        </w:tc>
        <w:tc>
          <w:tcPr>
            <w:tcW w:w="13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6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8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627" w:type="dxa"/>
            <w:tcBorders>
              <w:top w:val="nil"/>
              <w:left w:val="nil"/>
              <w:bottom w:val="single" w:color="000000" w:sz="8"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32</w:t>
            </w:r>
          </w:p>
        </w:tc>
        <w:tc>
          <w:tcPr>
            <w:tcW w:w="115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2,712.67</w:t>
            </w:r>
          </w:p>
        </w:tc>
        <w:tc>
          <w:tcPr>
            <w:tcW w:w="318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627" w:type="dxa"/>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64</w:t>
            </w:r>
          </w:p>
        </w:tc>
        <w:tc>
          <w:tcPr>
            <w:tcW w:w="137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2,712.67</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2,712.67</w:t>
            </w: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17" w:type="dxa"/>
            <w:gridSpan w:val="8"/>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注：本表反映部门本年度一般公共预算财政拨款、政府性基金预算财政拨款和国有资本经营预算财政拨款的总收支和年末结转结余情况。</w:t>
            </w:r>
          </w:p>
        </w:tc>
        <w:tc>
          <w:tcPr>
            <w:tcW w:w="1250" w:type="dxa"/>
            <w:tcBorders>
              <w:top w:val="nil"/>
              <w:left w:val="nil"/>
              <w:bottom w:val="nil"/>
              <w:right w:val="nil"/>
            </w:tcBorders>
            <w:shd w:val="clear" w:color="auto" w:fill="auto"/>
            <w:noWrap/>
            <w:vAlign w:val="center"/>
          </w:tcPr>
          <w:p>
            <w:pPr>
              <w:jc w:val="left"/>
              <w:rPr>
                <w:rFonts w:ascii="宋体" w:hAnsi="宋体" w:cs="宋体"/>
                <w:color w:val="000000"/>
                <w:sz w:val="20"/>
                <w:szCs w:val="20"/>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5000" w:type="pct"/>
        <w:tblInd w:w="0" w:type="dxa"/>
        <w:tblLayout w:type="autofit"/>
        <w:tblCellMar>
          <w:top w:w="0" w:type="dxa"/>
          <w:left w:w="108" w:type="dxa"/>
          <w:bottom w:w="0" w:type="dxa"/>
          <w:right w:w="108" w:type="dxa"/>
        </w:tblCellMar>
      </w:tblPr>
      <w:tblGrid>
        <w:gridCol w:w="3008"/>
        <w:gridCol w:w="300"/>
        <w:gridCol w:w="300"/>
        <w:gridCol w:w="5372"/>
        <w:gridCol w:w="1497"/>
        <w:gridCol w:w="1497"/>
        <w:gridCol w:w="2200"/>
      </w:tblGrid>
      <w:tr>
        <w:tblPrEx>
          <w:tblCellMar>
            <w:top w:w="0" w:type="dxa"/>
            <w:left w:w="108" w:type="dxa"/>
            <w:bottom w:w="0" w:type="dxa"/>
            <w:right w:w="108" w:type="dxa"/>
          </w:tblCellMar>
        </w:tblPrEx>
        <w:trPr>
          <w:trHeight w:val="384" w:hRule="atLeast"/>
        </w:trPr>
        <w:tc>
          <w:tcPr>
            <w:tcW w:w="5000" w:type="pct"/>
            <w:gridSpan w:val="7"/>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一般公共预算财政拨款支出决算表</w:t>
            </w:r>
          </w:p>
        </w:tc>
      </w:tr>
      <w:tr>
        <w:tblPrEx>
          <w:tblCellMar>
            <w:top w:w="0" w:type="dxa"/>
            <w:left w:w="108" w:type="dxa"/>
            <w:bottom w:w="0" w:type="dxa"/>
            <w:right w:w="108" w:type="dxa"/>
          </w:tblCellMar>
        </w:tblPrEx>
        <w:trPr>
          <w:trHeight w:val="264" w:hRule="atLeast"/>
        </w:trPr>
        <w:tc>
          <w:tcPr>
            <w:tcW w:w="1061"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9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2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2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75"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公开05表</w:t>
            </w:r>
          </w:p>
        </w:tc>
      </w:tr>
      <w:tr>
        <w:tblPrEx>
          <w:tblCellMar>
            <w:top w:w="0" w:type="dxa"/>
            <w:left w:w="108" w:type="dxa"/>
            <w:bottom w:w="0" w:type="dxa"/>
            <w:right w:w="108" w:type="dxa"/>
          </w:tblCellMar>
        </w:tblPrEx>
        <w:trPr>
          <w:trHeight w:val="264" w:hRule="atLeast"/>
        </w:trPr>
        <w:tc>
          <w:tcPr>
            <w:tcW w:w="1061" w:type="pct"/>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部门：开封市人民医院</w:t>
            </w:r>
          </w:p>
        </w:tc>
        <w:tc>
          <w:tcPr>
            <w:tcW w:w="10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9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2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2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75"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3168"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831" w:type="pct"/>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w:t>
            </w:r>
          </w:p>
        </w:tc>
      </w:tr>
      <w:tr>
        <w:tblPrEx>
          <w:tblCellMar>
            <w:top w:w="0" w:type="dxa"/>
            <w:left w:w="108" w:type="dxa"/>
            <w:bottom w:w="0" w:type="dxa"/>
            <w:right w:w="108" w:type="dxa"/>
          </w:tblCellMar>
        </w:tblPrEx>
        <w:trPr>
          <w:trHeight w:val="312" w:hRule="atLeast"/>
        </w:trPr>
        <w:tc>
          <w:tcPr>
            <w:tcW w:w="1273"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1894"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528"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528"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775"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r>
      <w:tr>
        <w:tblPrEx>
          <w:tblCellMar>
            <w:top w:w="0" w:type="dxa"/>
            <w:left w:w="108" w:type="dxa"/>
            <w:bottom w:w="0" w:type="dxa"/>
            <w:right w:w="108" w:type="dxa"/>
          </w:tblCellMar>
        </w:tblPrEx>
        <w:trPr>
          <w:trHeight w:val="312" w:hRule="atLeast"/>
        </w:trPr>
        <w:tc>
          <w:tcPr>
            <w:tcW w:w="127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189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rPr>
            </w:pPr>
          </w:p>
        </w:tc>
        <w:tc>
          <w:tcPr>
            <w:tcW w:w="528"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528"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775"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27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189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rPr>
            </w:pPr>
          </w:p>
        </w:tc>
        <w:tc>
          <w:tcPr>
            <w:tcW w:w="528"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528"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775"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168"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528"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528"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775"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r>
      <w:tr>
        <w:tblPrEx>
          <w:tblCellMar>
            <w:top w:w="0" w:type="dxa"/>
            <w:left w:w="108" w:type="dxa"/>
            <w:bottom w:w="0" w:type="dxa"/>
            <w:right w:w="108" w:type="dxa"/>
          </w:tblCellMar>
        </w:tblPrEx>
        <w:trPr>
          <w:trHeight w:val="308" w:hRule="atLeast"/>
        </w:trPr>
        <w:tc>
          <w:tcPr>
            <w:tcW w:w="3168"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2,542.14</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1,739.14</w:t>
            </w: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803.00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206</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科学技术支出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20604</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技术研究与开发</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r>
      <w:tr>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2060499</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其他技术研究与开发支出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77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77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2080505</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77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2,297.51</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1,584.14</w:t>
            </w: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713.37</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21001</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卫生健康管理事务</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2100102</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一般行政管理事务</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21002</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公立医院</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1,778.44</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1,584.14</w:t>
            </w: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194.30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2100201</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综合医院</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1,451.44</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1,334.14</w:t>
            </w: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117.30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2100211</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处理医疗欠费</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1.00</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2100299</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其他公立医院支出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326.00</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250.00</w:t>
            </w: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76.00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21003</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基层医疗卫生机构</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358.87</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358.87</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2100399</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其他基层医疗卫生机构支出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358.87</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358.87</w:t>
            </w:r>
          </w:p>
        </w:tc>
      </w:tr>
      <w:tr>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21004</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公共卫生</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51.20</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51.20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2100408</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基本公共卫生服务</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1.20</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2100410</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突发公共卫生事件应急处理</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50.00</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50.00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21099</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其他卫生健康支出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104.00</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104.00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2109999</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其他卫生健康支出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104.00</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104.00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213</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农林水支出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21301</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农业农村</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1.61</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1.61</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2130199</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其他农业农村支出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1.61</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1.61</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21305</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扶贫</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0.20</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2130599</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其他扶贫支出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0.20</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224</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灾害防治及应急管理支出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22407</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自然灾害救灾及恢复重建支出</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r>
      <w:tr>
        <w:tblPrEx>
          <w:tblCellMar>
            <w:top w:w="0" w:type="dxa"/>
            <w:left w:w="108" w:type="dxa"/>
            <w:bottom w:w="0" w:type="dxa"/>
            <w:right w:w="108" w:type="dxa"/>
          </w:tblCellMar>
        </w:tblPrEx>
        <w:trPr>
          <w:trHeight w:val="308" w:hRule="atLeast"/>
        </w:trPr>
        <w:tc>
          <w:tcPr>
            <w:tcW w:w="127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2240704</w:t>
            </w:r>
          </w:p>
        </w:tc>
        <w:tc>
          <w:tcPr>
            <w:tcW w:w="189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自然灾害灾后重建补助</w:t>
            </w:r>
          </w:p>
        </w:tc>
        <w:tc>
          <w:tcPr>
            <w:tcW w:w="52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c>
          <w:tcPr>
            <w:tcW w:w="52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87.00</w:t>
            </w:r>
          </w:p>
        </w:tc>
      </w:tr>
      <w:tr>
        <w:tblPrEx>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注：本表反映部门本年度一般公共预算财政拨款支出情况。</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14420" w:type="dxa"/>
        <w:tblInd w:w="0" w:type="dxa"/>
        <w:tblLayout w:type="fixed"/>
        <w:tblCellMar>
          <w:top w:w="0" w:type="dxa"/>
          <w:left w:w="108" w:type="dxa"/>
          <w:bottom w:w="0" w:type="dxa"/>
          <w:right w:w="108" w:type="dxa"/>
        </w:tblCellMar>
      </w:tblPr>
      <w:tblGrid>
        <w:gridCol w:w="854"/>
        <w:gridCol w:w="2920"/>
        <w:gridCol w:w="1172"/>
        <w:gridCol w:w="894"/>
        <w:gridCol w:w="2094"/>
        <w:gridCol w:w="933"/>
        <w:gridCol w:w="1120"/>
        <w:gridCol w:w="3400"/>
        <w:gridCol w:w="1033"/>
      </w:tblGrid>
      <w:tr>
        <w:tblPrEx>
          <w:tblCellMar>
            <w:top w:w="0" w:type="dxa"/>
            <w:left w:w="108" w:type="dxa"/>
            <w:bottom w:w="0" w:type="dxa"/>
            <w:right w:w="108" w:type="dxa"/>
          </w:tblCellMar>
        </w:tblPrEx>
        <w:trPr>
          <w:trHeight w:val="384" w:hRule="atLeast"/>
        </w:trPr>
        <w:tc>
          <w:tcPr>
            <w:tcW w:w="14420" w:type="dxa"/>
            <w:gridSpan w:val="9"/>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一般公共预算财政拨款基本支出决算表</w:t>
            </w:r>
          </w:p>
        </w:tc>
      </w:tr>
      <w:tr>
        <w:tblPrEx>
          <w:tblCellMar>
            <w:top w:w="0" w:type="dxa"/>
            <w:left w:w="108" w:type="dxa"/>
            <w:bottom w:w="0" w:type="dxa"/>
            <w:right w:w="108" w:type="dxa"/>
          </w:tblCellMar>
        </w:tblPrEx>
        <w:trPr>
          <w:trHeight w:val="264" w:hRule="atLeast"/>
        </w:trPr>
        <w:tc>
          <w:tcPr>
            <w:tcW w:w="85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92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7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9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09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3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433" w:type="dxa"/>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公开06表</w:t>
            </w:r>
          </w:p>
        </w:tc>
      </w:tr>
      <w:tr>
        <w:tblPrEx>
          <w:tblCellMar>
            <w:top w:w="0" w:type="dxa"/>
            <w:left w:w="108" w:type="dxa"/>
            <w:bottom w:w="0" w:type="dxa"/>
            <w:right w:w="108" w:type="dxa"/>
          </w:tblCellMar>
        </w:tblPrEx>
        <w:trPr>
          <w:trHeight w:val="264" w:hRule="atLeast"/>
        </w:trPr>
        <w:tc>
          <w:tcPr>
            <w:tcW w:w="3774"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cs="宋体"/>
                <w:color w:val="000000"/>
                <w:kern w:val="0"/>
                <w:sz w:val="20"/>
                <w:szCs w:val="20"/>
                <w:lang w:bidi="ar"/>
              </w:rPr>
              <w:t>部门：开封市人民医院</w:t>
            </w:r>
          </w:p>
        </w:tc>
        <w:tc>
          <w:tcPr>
            <w:tcW w:w="117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9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09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3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433" w:type="dxa"/>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494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人员经费</w:t>
            </w:r>
          </w:p>
        </w:tc>
        <w:tc>
          <w:tcPr>
            <w:tcW w:w="9474" w:type="dxa"/>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公用经费</w:t>
            </w:r>
          </w:p>
        </w:tc>
      </w:tr>
      <w:tr>
        <w:tblPrEx>
          <w:tblCellMar>
            <w:top w:w="0" w:type="dxa"/>
            <w:left w:w="108" w:type="dxa"/>
            <w:bottom w:w="0" w:type="dxa"/>
            <w:right w:w="108" w:type="dxa"/>
          </w:tblCellMar>
        </w:tblPrEx>
        <w:trPr>
          <w:trHeight w:val="312" w:hRule="atLeast"/>
        </w:trPr>
        <w:tc>
          <w:tcPr>
            <w:tcW w:w="854"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292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172"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c>
          <w:tcPr>
            <w:tcW w:w="894"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2094"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93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c>
          <w:tcPr>
            <w:tcW w:w="112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340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03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12" w:hRule="atLeast"/>
        </w:trPr>
        <w:tc>
          <w:tcPr>
            <w:tcW w:w="854"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292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1172"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894"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2094"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933"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112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340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1033"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r>
      <w:tr>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工资福利支出</w:t>
            </w:r>
          </w:p>
        </w:tc>
        <w:tc>
          <w:tcPr>
            <w:tcW w:w="1172"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1,489.14</w:t>
            </w: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商品和服务支出</w:t>
            </w:r>
          </w:p>
        </w:tc>
        <w:tc>
          <w:tcPr>
            <w:tcW w:w="93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250.00</w:t>
            </w: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债务利息及费用支出</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30101</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基本工资</w:t>
            </w:r>
          </w:p>
        </w:tc>
        <w:tc>
          <w:tcPr>
            <w:tcW w:w="1172"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1,334.14</w:t>
            </w: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30201</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办公费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30701</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国内债务付息</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30102</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津贴补贴</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30202</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印刷费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30702</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国外债务付息</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30103</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奖金</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30203</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咨询费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资本性支出</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30106</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伙食补助费</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30204</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手续费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31001</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房屋建筑物购建</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30107</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绩效工资</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30205</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水费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31002</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办公设备购置</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30108</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w:t>
            </w:r>
          </w:p>
        </w:tc>
        <w:tc>
          <w:tcPr>
            <w:tcW w:w="1172"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155.00</w:t>
            </w: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30206</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电费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31003</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专用设备购置</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30109</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职业年金缴费</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30207</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邮电费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31005</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基础设施建设</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30110</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职工基本医疗保险缴费</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30208</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取暖费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31006</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大型修缮</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30111</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公务员医疗补助缴费</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30209</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物业管理费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31007</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信息网络及软件购置更新</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30112</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其他社会保障缴费</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30211</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差旅费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31008</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物资储备</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30113</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住房公积金</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30212</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因公出国（境）费用</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31009</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土地补偿</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30114</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医疗费</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30213</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维修（护）费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31010</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安置补助</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30199</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其他工资福利支出</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30214</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租赁费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31011</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地上附着物和青苗补偿</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对个人和家庭的补助</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30215</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会议费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31012</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拆迁补偿</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30301</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离休费</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30216</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培训费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31013</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公务用车购置</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30302</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退休费</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30217</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公务接待费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31019</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其他交通工具购置</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30303</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退职（役）费</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30218</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专用材料费</w:t>
            </w:r>
          </w:p>
        </w:tc>
        <w:tc>
          <w:tcPr>
            <w:tcW w:w="93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250.00</w:t>
            </w: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31021</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文物和陈列品购置</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30304</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抚恤金</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30224</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被装购置费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31022</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无形资产购置</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30305</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生活补助</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30225</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专用燃料费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31099</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其他资本性支出</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30306</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救济费</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30226</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劳务费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其他支出</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30307</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医疗费补助</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30227</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委托业务费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39906</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赠与</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30308</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助学金</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30228</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工会经费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39907</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国家赔偿费用支出</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30309</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奖励金</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30229</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福利费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39908</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对民间非营利组织和群众性自治组织补贴</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30310</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个人农业生产补贴</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30231</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公务用车运行维护费</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39999</w:t>
            </w:r>
          </w:p>
        </w:tc>
        <w:tc>
          <w:tcPr>
            <w:tcW w:w="340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其他支出</w:t>
            </w: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30311</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代缴社会保险费</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30239</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其他交通费用</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340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30399</w:t>
            </w:r>
          </w:p>
        </w:tc>
        <w:tc>
          <w:tcPr>
            <w:tcW w:w="2920"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其他对个人和家庭的补助</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30240</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税金及附加费用</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340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292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8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30299</w:t>
            </w:r>
          </w:p>
        </w:tc>
        <w:tc>
          <w:tcPr>
            <w:tcW w:w="2094" w:type="dxa"/>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其他商品和服务支出</w:t>
            </w:r>
          </w:p>
        </w:tc>
        <w:tc>
          <w:tcPr>
            <w:tcW w:w="9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2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340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rPr>
            </w:pPr>
          </w:p>
        </w:tc>
        <w:tc>
          <w:tcPr>
            <w:tcW w:w="10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rPr>
          <w:trHeight w:val="308" w:hRule="atLeast"/>
        </w:trPr>
        <w:tc>
          <w:tcPr>
            <w:tcW w:w="3774"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人员经费合计</w:t>
            </w:r>
          </w:p>
        </w:tc>
        <w:tc>
          <w:tcPr>
            <w:tcW w:w="1172"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1,489.14</w:t>
            </w:r>
          </w:p>
        </w:tc>
        <w:tc>
          <w:tcPr>
            <w:tcW w:w="8441" w:type="dxa"/>
            <w:gridSpan w:val="5"/>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公用经费合计</w:t>
            </w:r>
          </w:p>
        </w:tc>
        <w:tc>
          <w:tcPr>
            <w:tcW w:w="103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250.00</w:t>
            </w:r>
          </w:p>
        </w:tc>
      </w:tr>
      <w:tr>
        <w:tblPrEx>
          <w:tblCellMar>
            <w:top w:w="0" w:type="dxa"/>
            <w:left w:w="108" w:type="dxa"/>
            <w:bottom w:w="0" w:type="dxa"/>
            <w:right w:w="108" w:type="dxa"/>
          </w:tblCellMar>
        </w:tblPrEx>
        <w:trPr>
          <w:trHeight w:val="308" w:hRule="atLeast"/>
        </w:trPr>
        <w:tc>
          <w:tcPr>
            <w:tcW w:w="14420" w:type="dxa"/>
            <w:gridSpan w:val="9"/>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注：本表反映部门本年度一般公共预算财政拨款基本支出明细情况。</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0" w:type="auto"/>
        <w:tblInd w:w="0" w:type="dxa"/>
        <w:tblLayout w:type="autofit"/>
        <w:tblCellMar>
          <w:top w:w="0" w:type="dxa"/>
          <w:left w:w="108" w:type="dxa"/>
          <w:bottom w:w="0" w:type="dxa"/>
          <w:right w:w="108" w:type="dxa"/>
        </w:tblCellMar>
      </w:tblPr>
      <w:tblGrid>
        <w:gridCol w:w="2216"/>
        <w:gridCol w:w="1501"/>
        <w:gridCol w:w="566"/>
        <w:gridCol w:w="1177"/>
        <w:gridCol w:w="1177"/>
        <w:gridCol w:w="933"/>
        <w:gridCol w:w="566"/>
        <w:gridCol w:w="1502"/>
        <w:gridCol w:w="566"/>
        <w:gridCol w:w="1177"/>
        <w:gridCol w:w="1177"/>
        <w:gridCol w:w="1616"/>
      </w:tblGrid>
      <w:tr>
        <w:tblPrEx>
          <w:tblCellMar>
            <w:top w:w="0" w:type="dxa"/>
            <w:left w:w="108" w:type="dxa"/>
            <w:bottom w:w="0" w:type="dxa"/>
            <w:right w:w="108" w:type="dxa"/>
          </w:tblCellMar>
        </w:tblPrEx>
        <w:trPr>
          <w:trHeight w:val="564" w:hRule="atLeast"/>
        </w:trPr>
        <w:tc>
          <w:tcPr>
            <w:tcW w:w="0" w:type="auto"/>
            <w:gridSpan w:val="12"/>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44"/>
                <w:szCs w:val="44"/>
                <w:lang w:bidi="ar"/>
              </w:rPr>
              <w:t>一般公共预算财政拨款“三公”经费支出决算表</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部门：开封市人民医院</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预算数</w:t>
            </w:r>
          </w:p>
        </w:tc>
        <w:tc>
          <w:tcPr>
            <w:tcW w:w="0" w:type="auto"/>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r>
      <w:tr>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因公出国（境）费</w:t>
            </w:r>
          </w:p>
        </w:tc>
        <w:tc>
          <w:tcPr>
            <w:tcW w:w="0" w:type="auto"/>
            <w:gridSpan w:val="3"/>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公务接待费</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因公出国（境）费</w:t>
            </w:r>
          </w:p>
        </w:tc>
        <w:tc>
          <w:tcPr>
            <w:tcW w:w="0" w:type="auto"/>
            <w:gridSpan w:val="3"/>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公务接待费</w:t>
            </w:r>
          </w:p>
        </w:tc>
      </w:tr>
      <w:tr>
        <w:tblPrEx>
          <w:tblCellMar>
            <w:top w:w="0" w:type="dxa"/>
            <w:left w:w="108" w:type="dxa"/>
            <w:bottom w:w="0" w:type="dxa"/>
            <w:right w:w="108"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公务用车购置费</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公务用车运行费</w:t>
            </w: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公务用车购置费</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公务用车运行费</w:t>
            </w: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615" w:hRule="atLeast"/>
        </w:trPr>
        <w:tc>
          <w:tcPr>
            <w:tcW w:w="0" w:type="auto"/>
            <w:gridSpan w:val="12"/>
            <w:tcBorders>
              <w:top w:val="nil"/>
              <w:left w:val="nil"/>
              <w:bottom w:val="nil"/>
              <w:right w:val="nil"/>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注：本表反映部门本年度“三公”经费支出预决算情况。其中，预算数为“三公”经费年初预算数；决算数是包括当年一般公共预算财政拨款和以前年度结转资金安排的实际支出。</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t>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val="en-US" w:eastAsia="zh-CN"/>
        </w:rPr>
        <w:t>三公经费</w:t>
      </w:r>
      <w:r>
        <w:rPr>
          <w:rFonts w:hint="eastAsia" w:ascii="仿宋_GB2312" w:hAnsi="仿宋_GB2312" w:eastAsia="仿宋_GB2312" w:cs="仿宋_GB2312"/>
          <w:sz w:val="32"/>
          <w:szCs w:val="32"/>
        </w:rPr>
        <w:t>收入，也没有使用</w:t>
      </w:r>
      <w:r>
        <w:rPr>
          <w:rFonts w:hint="eastAsia" w:ascii="仿宋_GB2312" w:hAnsi="仿宋_GB2312" w:eastAsia="仿宋_GB2312" w:cs="仿宋_GB2312"/>
          <w:sz w:val="32"/>
          <w:szCs w:val="32"/>
          <w:lang w:val="en-US" w:eastAsia="zh-CN"/>
        </w:rPr>
        <w:t>三公经费</w:t>
      </w:r>
      <w:r>
        <w:rPr>
          <w:rFonts w:hint="eastAsia" w:ascii="仿宋_GB2312" w:hAnsi="仿宋_GB2312" w:eastAsia="仿宋_GB2312" w:cs="仿宋_GB2312"/>
          <w:sz w:val="32"/>
          <w:szCs w:val="32"/>
        </w:rPr>
        <w:t>支出，故本表无数据。</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bookmarkStart w:id="0" w:name="_GoBack"/>
      <w:bookmarkEnd w:id="0"/>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5000" w:type="pct"/>
        <w:tblInd w:w="0" w:type="dxa"/>
        <w:tblLayout w:type="autofit"/>
        <w:tblCellMar>
          <w:top w:w="0" w:type="dxa"/>
          <w:left w:w="108" w:type="dxa"/>
          <w:bottom w:w="0" w:type="dxa"/>
          <w:right w:w="108" w:type="dxa"/>
        </w:tblCellMar>
      </w:tblPr>
      <w:tblGrid>
        <w:gridCol w:w="2801"/>
        <w:gridCol w:w="278"/>
        <w:gridCol w:w="281"/>
        <w:gridCol w:w="1386"/>
        <w:gridCol w:w="2217"/>
        <w:gridCol w:w="1383"/>
        <w:gridCol w:w="828"/>
        <w:gridCol w:w="1383"/>
        <w:gridCol w:w="1386"/>
        <w:gridCol w:w="2231"/>
      </w:tblGrid>
      <w:tr>
        <w:tblPrEx>
          <w:tblCellMar>
            <w:top w:w="0" w:type="dxa"/>
            <w:left w:w="108" w:type="dxa"/>
            <w:bottom w:w="0" w:type="dxa"/>
            <w:right w:w="108" w:type="dxa"/>
          </w:tblCellMar>
        </w:tblPrEx>
        <w:trPr>
          <w:trHeight w:val="384" w:hRule="atLeast"/>
        </w:trPr>
        <w:tc>
          <w:tcPr>
            <w:tcW w:w="5000" w:type="pct"/>
            <w:gridSpan w:val="10"/>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政府性基金预算财政拨款收入支出决算表</w:t>
            </w:r>
          </w:p>
        </w:tc>
      </w:tr>
      <w:tr>
        <w:tblPrEx>
          <w:tblCellMar>
            <w:top w:w="0" w:type="dxa"/>
            <w:left w:w="108" w:type="dxa"/>
            <w:bottom w:w="0" w:type="dxa"/>
            <w:right w:w="108" w:type="dxa"/>
          </w:tblCellMar>
        </w:tblPrEx>
        <w:trPr>
          <w:trHeight w:val="264" w:hRule="atLeast"/>
        </w:trPr>
        <w:tc>
          <w:tcPr>
            <w:tcW w:w="98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8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8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8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9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8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8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84"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108" w:type="dxa"/>
            <w:bottom w:w="0" w:type="dxa"/>
            <w:right w:w="108" w:type="dxa"/>
          </w:tblCellMar>
        </w:tblPrEx>
        <w:trPr>
          <w:trHeight w:val="264" w:hRule="atLeast"/>
        </w:trPr>
        <w:tc>
          <w:tcPr>
            <w:tcW w:w="988" w:type="pct"/>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部门：开封市人民医院</w:t>
            </w:r>
          </w:p>
        </w:tc>
        <w:tc>
          <w:tcPr>
            <w:tcW w:w="9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8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8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8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9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8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8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84"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167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782"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年初结转和结余</w:t>
            </w:r>
          </w:p>
        </w:tc>
        <w:tc>
          <w:tcPr>
            <w:tcW w:w="488"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本年收入</w:t>
            </w:r>
          </w:p>
        </w:tc>
        <w:tc>
          <w:tcPr>
            <w:tcW w:w="1269" w:type="pct"/>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w:t>
            </w:r>
          </w:p>
        </w:tc>
        <w:tc>
          <w:tcPr>
            <w:tcW w:w="784"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年末结转和结余</w:t>
            </w:r>
          </w:p>
        </w:tc>
      </w:tr>
      <w:tr>
        <w:tblPrEx>
          <w:tblCellMar>
            <w:top w:w="0" w:type="dxa"/>
            <w:left w:w="108" w:type="dxa"/>
            <w:bottom w:w="0" w:type="dxa"/>
            <w:right w:w="108" w:type="dxa"/>
          </w:tblCellMar>
        </w:tblPrEx>
        <w:trPr>
          <w:trHeight w:val="312" w:hRule="atLeast"/>
        </w:trPr>
        <w:tc>
          <w:tcPr>
            <w:tcW w:w="1185"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488"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78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48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292"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488"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488"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c>
          <w:tcPr>
            <w:tcW w:w="78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185"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48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rPr>
            </w:pPr>
          </w:p>
        </w:tc>
        <w:tc>
          <w:tcPr>
            <w:tcW w:w="78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48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292"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488"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488"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78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185"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48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rPr>
            </w:pPr>
          </w:p>
        </w:tc>
        <w:tc>
          <w:tcPr>
            <w:tcW w:w="78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48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292"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488"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488"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c>
          <w:tcPr>
            <w:tcW w:w="78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74"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782"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488"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292"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488"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488"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784"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1674"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78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29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118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78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8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78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8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78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8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78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8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78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8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78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注：本表反映部门本年度政府性基金预算财政拨款收入、支出及结转和结余情况。</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t>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没有政府性基金收入，也没有使用政府性基金安排的支出，故本表无数据。</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1471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06"/>
        <w:gridCol w:w="1342"/>
        <w:gridCol w:w="2025"/>
        <w:gridCol w:w="2025"/>
        <w:gridCol w:w="2026"/>
        <w:gridCol w:w="2027"/>
        <w:gridCol w:w="2026"/>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4711" w:type="dxa"/>
            <w:gridSpan w:val="8"/>
            <w:tcBorders>
              <w:top w:val="nil"/>
              <w:left w:val="nil"/>
              <w:bottom w:val="nil"/>
              <w:right w:val="nil"/>
            </w:tcBorders>
            <w:noWrap/>
            <w:vAlign w:val="center"/>
          </w:tcPr>
          <w:p>
            <w:pPr>
              <w:jc w:val="center"/>
              <w:rPr>
                <w:rFonts w:hint="eastAsia"/>
                <w:sz w:val="28"/>
                <w:szCs w:val="28"/>
              </w:rPr>
            </w:pPr>
            <w:r>
              <w:rPr>
                <w:rFonts w:hint="eastAsia"/>
                <w:sz w:val="28"/>
                <w:szCs w:val="28"/>
                <w:lang w:eastAsia="zh-CN"/>
              </w:rPr>
              <w:t>国有资本经营</w:t>
            </w:r>
            <w:r>
              <w:rPr>
                <w:rFonts w:hint="eastAsia"/>
                <w:sz w:val="28"/>
                <w:szCs w:val="28"/>
              </w:rPr>
              <w:t>预算财政拨款收入支出决算表</w:t>
            </w:r>
          </w:p>
          <w:p>
            <w:pPr>
              <w:jc w:val="center"/>
              <w:rPr>
                <w:rFonts w:hint="default" w:eastAsia="宋体"/>
                <w:sz w:val="18"/>
                <w:szCs w:val="18"/>
                <w:lang w:val="en-US" w:eastAsia="zh-CN"/>
              </w:rPr>
            </w:pPr>
            <w:r>
              <w:rPr>
                <w:rFonts w:hint="eastAsia"/>
                <w:sz w:val="28"/>
                <w:szCs w:val="28"/>
                <w:lang w:val="en-US" w:eastAsia="zh-CN"/>
              </w:rPr>
              <w:t xml:space="preserve">                                                                                               </w:t>
            </w:r>
            <w:r>
              <w:rPr>
                <w:rFonts w:hint="eastAsia"/>
                <w:sz w:val="18"/>
                <w:szCs w:val="18"/>
                <w:lang w:val="en-US" w:eastAsia="zh-CN"/>
              </w:rPr>
              <w:t>公开09表</w:t>
            </w:r>
          </w:p>
          <w:p>
            <w:pPr>
              <w:jc w:val="left"/>
              <w:rPr>
                <w:rFonts w:hint="default" w:eastAsia="宋体"/>
                <w:sz w:val="28"/>
                <w:szCs w:val="28"/>
                <w:lang w:val="en-US" w:eastAsia="zh-CN"/>
              </w:rPr>
            </w:pPr>
            <w:r>
              <w:rPr>
                <w:rFonts w:hint="eastAsia"/>
                <w:sz w:val="18"/>
                <w:szCs w:val="18"/>
                <w:lang w:eastAsia="zh-CN"/>
              </w:rPr>
              <w:t>部门：开封市</w:t>
            </w:r>
            <w:r>
              <w:rPr>
                <w:rFonts w:hint="eastAsia"/>
                <w:sz w:val="18"/>
                <w:szCs w:val="18"/>
                <w:lang w:val="en-US" w:eastAsia="zh-CN"/>
              </w:rPr>
              <w:t>人民医院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48" w:type="dxa"/>
            <w:gridSpan w:val="2"/>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rPr>
                <w:rFonts w:hint="eastAsia"/>
              </w:rPr>
            </w:pPr>
            <w:r>
              <w:rPr>
                <w:rFonts w:hint="eastAsia"/>
              </w:rPr>
              <w:t>项    目</w:t>
            </w:r>
          </w:p>
        </w:tc>
        <w:tc>
          <w:tcPr>
            <w:tcW w:w="2025" w:type="dxa"/>
            <w:vMerge w:val="restart"/>
            <w:tcBorders>
              <w:top w:val="single" w:color="000000" w:sz="4" w:space="0"/>
              <w:left w:val="nil"/>
              <w:bottom w:val="single" w:color="000000" w:sz="4" w:space="0"/>
              <w:right w:val="single" w:color="000000" w:sz="4" w:space="0"/>
            </w:tcBorders>
            <w:shd w:val="clear" w:color="auto" w:fill="BEBEBE"/>
            <w:noWrap w:val="0"/>
            <w:vAlign w:val="center"/>
          </w:tcPr>
          <w:p>
            <w:pPr>
              <w:rPr>
                <w:rFonts w:hint="eastAsia"/>
              </w:rPr>
            </w:pPr>
            <w:r>
              <w:rPr>
                <w:rFonts w:hint="eastAsia"/>
              </w:rPr>
              <w:t>年初结转和结余</w:t>
            </w:r>
          </w:p>
        </w:tc>
        <w:tc>
          <w:tcPr>
            <w:tcW w:w="2025" w:type="dxa"/>
            <w:vMerge w:val="restart"/>
            <w:tcBorders>
              <w:top w:val="single" w:color="000000" w:sz="4" w:space="0"/>
              <w:left w:val="nil"/>
              <w:bottom w:val="single" w:color="000000" w:sz="4" w:space="0"/>
              <w:right w:val="single" w:color="000000" w:sz="4" w:space="0"/>
            </w:tcBorders>
            <w:shd w:val="clear" w:color="auto" w:fill="BEBEBE"/>
            <w:noWrap w:val="0"/>
            <w:vAlign w:val="center"/>
          </w:tcPr>
          <w:p>
            <w:pPr>
              <w:rPr>
                <w:rFonts w:hint="eastAsia"/>
              </w:rPr>
            </w:pPr>
            <w:r>
              <w:rPr>
                <w:rFonts w:hint="eastAsia"/>
              </w:rPr>
              <w:t>本年收入</w:t>
            </w:r>
          </w:p>
        </w:tc>
        <w:tc>
          <w:tcPr>
            <w:tcW w:w="6079" w:type="dxa"/>
            <w:gridSpan w:val="3"/>
            <w:tcBorders>
              <w:top w:val="single" w:color="000000" w:sz="4" w:space="0"/>
              <w:left w:val="nil"/>
              <w:bottom w:val="single" w:color="000000" w:sz="4" w:space="0"/>
              <w:right w:val="single" w:color="000000" w:sz="4" w:space="0"/>
            </w:tcBorders>
            <w:shd w:val="clear" w:color="auto" w:fill="BEBEBE"/>
            <w:noWrap w:val="0"/>
            <w:vAlign w:val="center"/>
          </w:tcPr>
          <w:p>
            <w:r>
              <w:rPr>
                <w:rFonts w:hint="eastAsia"/>
              </w:rPr>
              <w:t>本年支出</w:t>
            </w:r>
          </w:p>
        </w:tc>
        <w:tc>
          <w:tcPr>
            <w:tcW w:w="2034" w:type="dxa"/>
            <w:vMerge w:val="restart"/>
            <w:tcBorders>
              <w:top w:val="single" w:color="000000" w:sz="4" w:space="0"/>
              <w:left w:val="nil"/>
              <w:bottom w:val="single" w:color="000000" w:sz="4" w:space="0"/>
              <w:right w:val="single" w:color="000000" w:sz="4" w:space="0"/>
            </w:tcBorders>
            <w:shd w:val="clear" w:color="auto" w:fill="BEBEBE"/>
            <w:noWrap w:val="0"/>
            <w:vAlign w:val="center"/>
          </w:tcPr>
          <w:p>
            <w:pPr>
              <w:rPr>
                <w:rFonts w:hint="eastAsia"/>
              </w:rPr>
            </w:pPr>
            <w:r>
              <w:rPr>
                <w:rFonts w:hint="eastAsia"/>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tcBorders>
              <w:top w:val="nil"/>
              <w:left w:val="single" w:color="000000" w:sz="4" w:space="0"/>
              <w:bottom w:val="single" w:color="000000" w:sz="4" w:space="0"/>
              <w:right w:val="single" w:color="000000" w:sz="4" w:space="0"/>
            </w:tcBorders>
            <w:shd w:val="clear" w:color="auto" w:fill="BEBEBE"/>
            <w:noWrap w:val="0"/>
            <w:vAlign w:val="center"/>
          </w:tcPr>
          <w:p>
            <w:pPr>
              <w:rPr>
                <w:rFonts w:hint="eastAsia"/>
              </w:rPr>
            </w:pPr>
            <w:r>
              <w:rPr>
                <w:rFonts w:hint="eastAsia"/>
              </w:rPr>
              <w:t>功能分类</w:t>
            </w:r>
          </w:p>
          <w:p>
            <w:pPr>
              <w:rPr>
                <w:rFonts w:hint="eastAsia"/>
              </w:rPr>
            </w:pPr>
            <w:r>
              <w:rPr>
                <w:rFonts w:hint="eastAsia"/>
              </w:rPr>
              <w:t>科目编码</w:t>
            </w:r>
          </w:p>
        </w:tc>
        <w:tc>
          <w:tcPr>
            <w:tcW w:w="1342" w:type="dxa"/>
            <w:tcBorders>
              <w:top w:val="nil"/>
              <w:left w:val="nil"/>
              <w:bottom w:val="single" w:color="000000" w:sz="4" w:space="0"/>
              <w:right w:val="single" w:color="000000" w:sz="4" w:space="0"/>
            </w:tcBorders>
            <w:shd w:val="clear" w:color="auto" w:fill="BEBEBE"/>
            <w:noWrap w:val="0"/>
            <w:vAlign w:val="center"/>
          </w:tcPr>
          <w:p>
            <w:pPr>
              <w:rPr>
                <w:rFonts w:hint="eastAsia"/>
              </w:rPr>
            </w:pPr>
            <w:r>
              <w:rPr>
                <w:rFonts w:hint="eastAsia"/>
              </w:rPr>
              <w:t>科目名称</w:t>
            </w:r>
          </w:p>
        </w:tc>
        <w:tc>
          <w:tcPr>
            <w:tcW w:w="2025" w:type="dxa"/>
            <w:vMerge w:val="continue"/>
            <w:tcBorders>
              <w:top w:val="nil"/>
              <w:left w:val="nil"/>
              <w:bottom w:val="single" w:color="000000" w:sz="4" w:space="0"/>
              <w:right w:val="single" w:color="000000" w:sz="4" w:space="0"/>
            </w:tcBorders>
            <w:shd w:val="clear" w:color="auto" w:fill="BEBEBE"/>
            <w:noWrap w:val="0"/>
            <w:vAlign w:val="center"/>
          </w:tcPr>
          <w:p>
            <w:pPr>
              <w:rPr>
                <w:rFonts w:hint="eastAsia"/>
              </w:rPr>
            </w:pPr>
          </w:p>
        </w:tc>
        <w:tc>
          <w:tcPr>
            <w:tcW w:w="2025" w:type="dxa"/>
            <w:vMerge w:val="continue"/>
            <w:tcBorders>
              <w:top w:val="nil"/>
              <w:left w:val="nil"/>
              <w:bottom w:val="single" w:color="000000" w:sz="4" w:space="0"/>
              <w:right w:val="single" w:color="000000" w:sz="4" w:space="0"/>
            </w:tcBorders>
            <w:shd w:val="clear" w:color="auto" w:fill="BEBEBE"/>
            <w:noWrap w:val="0"/>
            <w:vAlign w:val="center"/>
          </w:tcPr>
          <w:p>
            <w:pPr>
              <w:rPr>
                <w:rFonts w:hint="eastAsia"/>
              </w:rPr>
            </w:pPr>
          </w:p>
        </w:tc>
        <w:tc>
          <w:tcPr>
            <w:tcW w:w="2026" w:type="dxa"/>
            <w:tcBorders>
              <w:top w:val="nil"/>
              <w:left w:val="nil"/>
              <w:bottom w:val="single" w:color="000000" w:sz="4" w:space="0"/>
              <w:right w:val="single" w:color="000000" w:sz="4" w:space="0"/>
            </w:tcBorders>
            <w:shd w:val="clear" w:color="auto" w:fill="BEBEBE"/>
            <w:noWrap w:val="0"/>
            <w:vAlign w:val="center"/>
          </w:tcPr>
          <w:p>
            <w:pPr>
              <w:rPr>
                <w:rFonts w:hint="eastAsia"/>
              </w:rPr>
            </w:pPr>
            <w:r>
              <w:rPr>
                <w:rFonts w:hint="eastAsia"/>
              </w:rPr>
              <w:t>小计</w:t>
            </w:r>
          </w:p>
        </w:tc>
        <w:tc>
          <w:tcPr>
            <w:tcW w:w="2027" w:type="dxa"/>
            <w:tcBorders>
              <w:top w:val="nil"/>
              <w:left w:val="nil"/>
              <w:bottom w:val="single" w:color="000000" w:sz="4" w:space="0"/>
              <w:right w:val="single" w:color="000000" w:sz="4" w:space="0"/>
            </w:tcBorders>
            <w:shd w:val="clear" w:color="auto" w:fill="BEBEBE"/>
            <w:noWrap w:val="0"/>
            <w:vAlign w:val="center"/>
          </w:tcPr>
          <w:p>
            <w:pPr>
              <w:rPr>
                <w:rFonts w:hint="eastAsia"/>
              </w:rPr>
            </w:pPr>
            <w:r>
              <w:rPr>
                <w:rFonts w:hint="eastAsia"/>
              </w:rPr>
              <w:t>基本支出</w:t>
            </w:r>
          </w:p>
        </w:tc>
        <w:tc>
          <w:tcPr>
            <w:tcW w:w="2026" w:type="dxa"/>
            <w:tcBorders>
              <w:top w:val="nil"/>
              <w:left w:val="nil"/>
              <w:bottom w:val="single" w:color="000000" w:sz="4" w:space="0"/>
              <w:right w:val="single" w:color="000000" w:sz="4" w:space="0"/>
            </w:tcBorders>
            <w:shd w:val="clear" w:color="auto" w:fill="BEBEBE"/>
            <w:noWrap w:val="0"/>
            <w:vAlign w:val="center"/>
          </w:tcPr>
          <w:p>
            <w:pPr>
              <w:rPr>
                <w:rFonts w:hint="eastAsia"/>
              </w:rPr>
            </w:pPr>
            <w:r>
              <w:rPr>
                <w:rFonts w:hint="eastAsia"/>
              </w:rPr>
              <w:t>项目支出</w:t>
            </w:r>
          </w:p>
        </w:tc>
        <w:tc>
          <w:tcPr>
            <w:tcW w:w="2034" w:type="dxa"/>
            <w:vMerge w:val="continue"/>
            <w:tcBorders>
              <w:top w:val="nil"/>
              <w:left w:val="nil"/>
              <w:bottom w:val="single" w:color="000000" w:sz="4" w:space="0"/>
              <w:right w:val="single" w:color="000000" w:sz="4" w:space="0"/>
            </w:tcBorders>
            <w:shd w:val="clear" w:color="auto" w:fill="BEBEBE"/>
            <w:noWrap w:val="0"/>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548" w:type="dxa"/>
            <w:gridSpan w:val="2"/>
            <w:tcBorders>
              <w:top w:val="nil"/>
              <w:left w:val="single" w:color="000000" w:sz="4" w:space="0"/>
              <w:bottom w:val="single" w:color="000000" w:sz="4" w:space="0"/>
              <w:right w:val="single" w:color="000000" w:sz="4" w:space="0"/>
            </w:tcBorders>
            <w:shd w:val="clear" w:color="auto" w:fill="BEBEBE"/>
            <w:noWrap w:val="0"/>
            <w:vAlign w:val="center"/>
          </w:tcPr>
          <w:p>
            <w:pPr>
              <w:rPr>
                <w:rFonts w:hint="eastAsia"/>
              </w:rPr>
            </w:pPr>
            <w:r>
              <w:rPr>
                <w:rFonts w:hint="eastAsia"/>
              </w:rPr>
              <w:t>栏次</w:t>
            </w:r>
          </w:p>
        </w:tc>
        <w:tc>
          <w:tcPr>
            <w:tcW w:w="2025" w:type="dxa"/>
            <w:tcBorders>
              <w:top w:val="nil"/>
              <w:left w:val="nil"/>
              <w:bottom w:val="single" w:color="000000" w:sz="4" w:space="0"/>
              <w:right w:val="single" w:color="000000" w:sz="4" w:space="0"/>
            </w:tcBorders>
            <w:shd w:val="clear" w:color="auto" w:fill="BEBEBE"/>
            <w:noWrap w:val="0"/>
            <w:vAlign w:val="center"/>
          </w:tcPr>
          <w:p>
            <w:pPr>
              <w:rPr>
                <w:rFonts w:hint="eastAsia"/>
              </w:rPr>
            </w:pPr>
            <w:r>
              <w:rPr>
                <w:rFonts w:hint="eastAsia"/>
              </w:rPr>
              <w:t>1</w:t>
            </w:r>
          </w:p>
        </w:tc>
        <w:tc>
          <w:tcPr>
            <w:tcW w:w="2025" w:type="dxa"/>
            <w:tcBorders>
              <w:top w:val="nil"/>
              <w:left w:val="nil"/>
              <w:bottom w:val="single" w:color="000000" w:sz="4" w:space="0"/>
              <w:right w:val="single" w:color="000000" w:sz="4" w:space="0"/>
            </w:tcBorders>
            <w:shd w:val="clear" w:color="auto" w:fill="BEBEBE"/>
            <w:noWrap w:val="0"/>
            <w:vAlign w:val="center"/>
          </w:tcPr>
          <w:p>
            <w:pPr>
              <w:rPr>
                <w:rFonts w:hint="eastAsia"/>
              </w:rPr>
            </w:pPr>
            <w:r>
              <w:rPr>
                <w:rFonts w:hint="eastAsia"/>
              </w:rPr>
              <w:t>2</w:t>
            </w:r>
          </w:p>
        </w:tc>
        <w:tc>
          <w:tcPr>
            <w:tcW w:w="2026" w:type="dxa"/>
            <w:tcBorders>
              <w:top w:val="nil"/>
              <w:left w:val="nil"/>
              <w:bottom w:val="single" w:color="000000" w:sz="4" w:space="0"/>
              <w:right w:val="single" w:color="000000" w:sz="4" w:space="0"/>
            </w:tcBorders>
            <w:shd w:val="clear" w:color="auto" w:fill="BEBEBE"/>
            <w:noWrap w:val="0"/>
            <w:vAlign w:val="center"/>
          </w:tcPr>
          <w:p>
            <w:pPr>
              <w:rPr>
                <w:rFonts w:hint="eastAsia"/>
              </w:rPr>
            </w:pPr>
            <w:r>
              <w:rPr>
                <w:rFonts w:hint="eastAsia"/>
              </w:rPr>
              <w:t>3</w:t>
            </w:r>
          </w:p>
        </w:tc>
        <w:tc>
          <w:tcPr>
            <w:tcW w:w="2027" w:type="dxa"/>
            <w:tcBorders>
              <w:top w:val="nil"/>
              <w:left w:val="nil"/>
              <w:bottom w:val="single" w:color="000000" w:sz="4" w:space="0"/>
              <w:right w:val="single" w:color="000000" w:sz="4" w:space="0"/>
            </w:tcBorders>
            <w:shd w:val="clear" w:color="auto" w:fill="BEBEBE"/>
            <w:noWrap w:val="0"/>
            <w:vAlign w:val="center"/>
          </w:tcPr>
          <w:p>
            <w:pPr>
              <w:rPr>
                <w:rFonts w:hint="eastAsia"/>
              </w:rPr>
            </w:pPr>
            <w:r>
              <w:rPr>
                <w:rFonts w:hint="eastAsia"/>
              </w:rPr>
              <w:t>4</w:t>
            </w:r>
          </w:p>
        </w:tc>
        <w:tc>
          <w:tcPr>
            <w:tcW w:w="2026" w:type="dxa"/>
            <w:tcBorders>
              <w:top w:val="nil"/>
              <w:left w:val="nil"/>
              <w:bottom w:val="single" w:color="000000" w:sz="4" w:space="0"/>
              <w:right w:val="single" w:color="000000" w:sz="4" w:space="0"/>
            </w:tcBorders>
            <w:shd w:val="clear" w:color="auto" w:fill="BEBEBE"/>
            <w:noWrap w:val="0"/>
            <w:vAlign w:val="center"/>
          </w:tcPr>
          <w:p>
            <w:pPr>
              <w:rPr>
                <w:rFonts w:hint="eastAsia"/>
              </w:rPr>
            </w:pPr>
            <w:r>
              <w:rPr>
                <w:rFonts w:hint="eastAsia"/>
              </w:rPr>
              <w:t>5</w:t>
            </w:r>
          </w:p>
        </w:tc>
        <w:tc>
          <w:tcPr>
            <w:tcW w:w="2034" w:type="dxa"/>
            <w:tcBorders>
              <w:top w:val="nil"/>
              <w:left w:val="nil"/>
              <w:bottom w:val="single" w:color="000000" w:sz="4" w:space="0"/>
              <w:right w:val="single" w:color="000000" w:sz="4" w:space="0"/>
            </w:tcBorders>
            <w:shd w:val="clear" w:color="auto" w:fill="BEBEBE"/>
            <w:noWrap w:val="0"/>
            <w:vAlign w:val="center"/>
          </w:tcPr>
          <w:p>
            <w:pPr>
              <w:rPr>
                <w:rFonts w:hint="eastAsia"/>
              </w:rPr>
            </w:pPr>
            <w:r>
              <w:rPr>
                <w:rFonts w:hint="eastAsi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548" w:type="dxa"/>
            <w:gridSpan w:val="2"/>
            <w:tcBorders>
              <w:top w:val="nil"/>
              <w:left w:val="single" w:color="000000" w:sz="4" w:space="0"/>
              <w:bottom w:val="single" w:color="000000" w:sz="4" w:space="0"/>
              <w:right w:val="single" w:color="000000" w:sz="4" w:space="0"/>
            </w:tcBorders>
            <w:noWrap w:val="0"/>
            <w:vAlign w:val="center"/>
          </w:tcPr>
          <w:p>
            <w:pPr>
              <w:rPr>
                <w:rFonts w:hint="eastAsia"/>
              </w:rPr>
            </w:pPr>
            <w:r>
              <w:rPr>
                <w:rFonts w:hint="eastAsia"/>
              </w:rPr>
              <w:t>合计</w:t>
            </w:r>
          </w:p>
        </w:tc>
        <w:tc>
          <w:tcPr>
            <w:tcW w:w="2025" w:type="dxa"/>
            <w:tcBorders>
              <w:top w:val="nil"/>
              <w:left w:val="nil"/>
              <w:bottom w:val="single" w:color="000000" w:sz="4" w:space="0"/>
              <w:right w:val="single" w:color="000000" w:sz="4" w:space="0"/>
            </w:tcBorders>
            <w:noWrap w:val="0"/>
            <w:vAlign w:val="center"/>
          </w:tcPr>
          <w:p>
            <w:pPr>
              <w:rPr>
                <w:rFonts w:hint="eastAsia"/>
              </w:rPr>
            </w:pPr>
          </w:p>
        </w:tc>
        <w:tc>
          <w:tcPr>
            <w:tcW w:w="2025" w:type="dxa"/>
            <w:tcBorders>
              <w:top w:val="nil"/>
              <w:left w:val="nil"/>
              <w:bottom w:val="single" w:color="000000" w:sz="4" w:space="0"/>
              <w:right w:val="single" w:color="000000" w:sz="4" w:space="0"/>
            </w:tcBorders>
            <w:noWrap w:val="0"/>
            <w:vAlign w:val="center"/>
          </w:tcPr>
          <w:p>
            <w:pPr>
              <w:rPr>
                <w:rFonts w:hint="eastAsia"/>
              </w:rPr>
            </w:pPr>
          </w:p>
        </w:tc>
        <w:tc>
          <w:tcPr>
            <w:tcW w:w="2026" w:type="dxa"/>
            <w:tcBorders>
              <w:top w:val="nil"/>
              <w:left w:val="nil"/>
              <w:bottom w:val="single" w:color="000000" w:sz="4" w:space="0"/>
              <w:right w:val="single" w:color="000000" w:sz="4" w:space="0"/>
            </w:tcBorders>
            <w:noWrap w:val="0"/>
            <w:vAlign w:val="center"/>
          </w:tcPr>
          <w:p>
            <w:pPr>
              <w:rPr>
                <w:rFonts w:hint="eastAsia"/>
              </w:rPr>
            </w:pPr>
          </w:p>
        </w:tc>
        <w:tc>
          <w:tcPr>
            <w:tcW w:w="2027" w:type="dxa"/>
            <w:tcBorders>
              <w:top w:val="nil"/>
              <w:left w:val="nil"/>
              <w:bottom w:val="single" w:color="000000" w:sz="4" w:space="0"/>
              <w:right w:val="single" w:color="000000" w:sz="4" w:space="0"/>
            </w:tcBorders>
            <w:noWrap w:val="0"/>
            <w:vAlign w:val="center"/>
          </w:tcPr>
          <w:p>
            <w:pPr>
              <w:rPr>
                <w:rFonts w:hint="eastAsia"/>
              </w:rPr>
            </w:pPr>
          </w:p>
        </w:tc>
        <w:tc>
          <w:tcPr>
            <w:tcW w:w="2026" w:type="dxa"/>
            <w:tcBorders>
              <w:top w:val="nil"/>
              <w:left w:val="nil"/>
              <w:bottom w:val="single" w:color="000000" w:sz="4" w:space="0"/>
              <w:right w:val="single" w:color="000000" w:sz="4" w:space="0"/>
            </w:tcBorders>
            <w:noWrap w:val="0"/>
            <w:vAlign w:val="center"/>
          </w:tcPr>
          <w:p>
            <w:pPr>
              <w:rPr>
                <w:rFonts w:hint="eastAsia"/>
              </w:rPr>
            </w:pPr>
          </w:p>
        </w:tc>
        <w:tc>
          <w:tcPr>
            <w:tcW w:w="2034" w:type="dxa"/>
            <w:tcBorders>
              <w:top w:val="nil"/>
              <w:left w:val="nil"/>
              <w:bottom w:val="single" w:color="000000" w:sz="4" w:space="0"/>
              <w:right w:val="single" w:color="000000" w:sz="4" w:space="0"/>
            </w:tcBorders>
            <w:noWrap w:val="0"/>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tcBorders>
              <w:top w:val="nil"/>
              <w:left w:val="single" w:color="000000" w:sz="4" w:space="0"/>
              <w:bottom w:val="single" w:color="000000" w:sz="4" w:space="0"/>
              <w:right w:val="single" w:color="000000" w:sz="4" w:space="0"/>
            </w:tcBorders>
            <w:noWrap w:val="0"/>
            <w:vAlign w:val="center"/>
          </w:tcPr>
          <w:p>
            <w:pPr>
              <w:rPr>
                <w:rFonts w:hint="eastAsia"/>
              </w:rPr>
            </w:pPr>
          </w:p>
        </w:tc>
        <w:tc>
          <w:tcPr>
            <w:tcW w:w="1342" w:type="dxa"/>
            <w:tcBorders>
              <w:top w:val="nil"/>
              <w:left w:val="nil"/>
              <w:bottom w:val="single" w:color="000000" w:sz="4" w:space="0"/>
              <w:right w:val="single" w:color="000000" w:sz="4" w:space="0"/>
            </w:tcBorders>
            <w:noWrap w:val="0"/>
            <w:vAlign w:val="center"/>
          </w:tcPr>
          <w:p>
            <w:pPr>
              <w:rPr>
                <w:rFonts w:hint="eastAsia"/>
              </w:rPr>
            </w:pPr>
          </w:p>
        </w:tc>
        <w:tc>
          <w:tcPr>
            <w:tcW w:w="2025" w:type="dxa"/>
            <w:tcBorders>
              <w:top w:val="nil"/>
              <w:left w:val="nil"/>
              <w:bottom w:val="single" w:color="000000" w:sz="4" w:space="0"/>
              <w:right w:val="single" w:color="000000" w:sz="4" w:space="0"/>
            </w:tcBorders>
            <w:noWrap/>
            <w:vAlign w:val="center"/>
          </w:tcPr>
          <w:p>
            <w:pPr>
              <w:rPr>
                <w:rFonts w:hint="eastAsia"/>
              </w:rPr>
            </w:pPr>
          </w:p>
        </w:tc>
        <w:tc>
          <w:tcPr>
            <w:tcW w:w="2025" w:type="dxa"/>
            <w:tcBorders>
              <w:top w:val="nil"/>
              <w:left w:val="nil"/>
              <w:bottom w:val="single" w:color="000000" w:sz="4" w:space="0"/>
              <w:right w:val="single" w:color="000000" w:sz="4" w:space="0"/>
            </w:tcBorders>
            <w:noWrap/>
            <w:vAlign w:val="center"/>
          </w:tcPr>
          <w:p>
            <w:pPr>
              <w:rPr>
                <w:rFonts w:hint="eastAsia"/>
              </w:rPr>
            </w:pPr>
          </w:p>
        </w:tc>
        <w:tc>
          <w:tcPr>
            <w:tcW w:w="2026" w:type="dxa"/>
            <w:tcBorders>
              <w:top w:val="nil"/>
              <w:left w:val="nil"/>
              <w:bottom w:val="single" w:color="000000" w:sz="4" w:space="0"/>
              <w:right w:val="single" w:color="000000" w:sz="4" w:space="0"/>
            </w:tcBorders>
            <w:noWrap/>
            <w:vAlign w:val="center"/>
          </w:tcPr>
          <w:p>
            <w:pPr>
              <w:rPr>
                <w:rFonts w:hint="eastAsia"/>
              </w:rPr>
            </w:pPr>
          </w:p>
        </w:tc>
        <w:tc>
          <w:tcPr>
            <w:tcW w:w="2027" w:type="dxa"/>
            <w:tcBorders>
              <w:top w:val="nil"/>
              <w:left w:val="nil"/>
              <w:bottom w:val="single" w:color="000000" w:sz="4" w:space="0"/>
              <w:right w:val="single" w:color="000000" w:sz="4" w:space="0"/>
            </w:tcBorders>
            <w:noWrap/>
            <w:vAlign w:val="center"/>
          </w:tcPr>
          <w:p>
            <w:pPr>
              <w:rPr>
                <w:rFonts w:hint="eastAsia"/>
              </w:rPr>
            </w:pPr>
          </w:p>
        </w:tc>
        <w:tc>
          <w:tcPr>
            <w:tcW w:w="2026" w:type="dxa"/>
            <w:tcBorders>
              <w:top w:val="nil"/>
              <w:left w:val="nil"/>
              <w:bottom w:val="single" w:color="000000" w:sz="4" w:space="0"/>
              <w:right w:val="single" w:color="000000" w:sz="4" w:space="0"/>
            </w:tcBorders>
            <w:noWrap/>
            <w:vAlign w:val="center"/>
          </w:tcPr>
          <w:p>
            <w:pPr>
              <w:rPr>
                <w:rFonts w:hint="eastAsia"/>
              </w:rPr>
            </w:pPr>
          </w:p>
        </w:tc>
        <w:tc>
          <w:tcPr>
            <w:tcW w:w="2034" w:type="dxa"/>
            <w:tcBorders>
              <w:top w:val="nil"/>
              <w:left w:val="nil"/>
              <w:bottom w:val="single" w:color="000000" w:sz="4" w:space="0"/>
              <w:right w:val="single" w:color="000000" w:sz="4" w:space="0"/>
            </w:tcBorders>
            <w:noWrap/>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tcBorders>
              <w:top w:val="nil"/>
              <w:left w:val="single" w:color="000000" w:sz="4" w:space="0"/>
              <w:bottom w:val="single" w:color="000000" w:sz="4" w:space="0"/>
              <w:right w:val="single" w:color="000000" w:sz="4" w:space="0"/>
            </w:tcBorders>
            <w:noWrap w:val="0"/>
            <w:vAlign w:val="center"/>
          </w:tcPr>
          <w:p>
            <w:pPr>
              <w:rPr>
                <w:rFonts w:hint="eastAsia"/>
              </w:rPr>
            </w:pPr>
          </w:p>
        </w:tc>
        <w:tc>
          <w:tcPr>
            <w:tcW w:w="1342" w:type="dxa"/>
            <w:tcBorders>
              <w:top w:val="nil"/>
              <w:left w:val="nil"/>
              <w:bottom w:val="single" w:color="000000" w:sz="4" w:space="0"/>
              <w:right w:val="single" w:color="000000" w:sz="4" w:space="0"/>
            </w:tcBorders>
            <w:noWrap w:val="0"/>
            <w:vAlign w:val="center"/>
          </w:tcPr>
          <w:p>
            <w:pPr>
              <w:rPr>
                <w:rFonts w:hint="eastAsia"/>
              </w:rPr>
            </w:pPr>
          </w:p>
        </w:tc>
        <w:tc>
          <w:tcPr>
            <w:tcW w:w="2025" w:type="dxa"/>
            <w:tcBorders>
              <w:top w:val="nil"/>
              <w:left w:val="nil"/>
              <w:bottom w:val="single" w:color="000000" w:sz="4" w:space="0"/>
              <w:right w:val="single" w:color="000000" w:sz="4" w:space="0"/>
            </w:tcBorders>
            <w:noWrap/>
            <w:vAlign w:val="center"/>
          </w:tcPr>
          <w:p>
            <w:pPr>
              <w:rPr>
                <w:rFonts w:hint="eastAsia"/>
              </w:rPr>
            </w:pPr>
          </w:p>
        </w:tc>
        <w:tc>
          <w:tcPr>
            <w:tcW w:w="2025" w:type="dxa"/>
            <w:tcBorders>
              <w:top w:val="nil"/>
              <w:left w:val="nil"/>
              <w:bottom w:val="single" w:color="000000" w:sz="4" w:space="0"/>
              <w:right w:val="single" w:color="000000" w:sz="4" w:space="0"/>
            </w:tcBorders>
            <w:noWrap/>
            <w:vAlign w:val="center"/>
          </w:tcPr>
          <w:p>
            <w:pPr>
              <w:rPr>
                <w:rFonts w:hint="eastAsia"/>
              </w:rPr>
            </w:pPr>
          </w:p>
        </w:tc>
        <w:tc>
          <w:tcPr>
            <w:tcW w:w="2026" w:type="dxa"/>
            <w:tcBorders>
              <w:top w:val="nil"/>
              <w:left w:val="nil"/>
              <w:bottom w:val="single" w:color="000000" w:sz="4" w:space="0"/>
              <w:right w:val="single" w:color="000000" w:sz="4" w:space="0"/>
            </w:tcBorders>
            <w:noWrap/>
            <w:vAlign w:val="center"/>
          </w:tcPr>
          <w:p>
            <w:pPr>
              <w:rPr>
                <w:rFonts w:hint="eastAsia"/>
              </w:rPr>
            </w:pPr>
          </w:p>
        </w:tc>
        <w:tc>
          <w:tcPr>
            <w:tcW w:w="2027" w:type="dxa"/>
            <w:tcBorders>
              <w:top w:val="nil"/>
              <w:left w:val="nil"/>
              <w:bottom w:val="single" w:color="000000" w:sz="4" w:space="0"/>
              <w:right w:val="single" w:color="000000" w:sz="4" w:space="0"/>
            </w:tcBorders>
            <w:noWrap/>
            <w:vAlign w:val="center"/>
          </w:tcPr>
          <w:p>
            <w:pPr>
              <w:rPr>
                <w:rFonts w:hint="eastAsia"/>
              </w:rPr>
            </w:pPr>
          </w:p>
        </w:tc>
        <w:tc>
          <w:tcPr>
            <w:tcW w:w="2026" w:type="dxa"/>
            <w:tcBorders>
              <w:top w:val="nil"/>
              <w:left w:val="nil"/>
              <w:bottom w:val="single" w:color="000000" w:sz="4" w:space="0"/>
              <w:right w:val="single" w:color="000000" w:sz="4" w:space="0"/>
            </w:tcBorders>
            <w:noWrap/>
            <w:vAlign w:val="center"/>
          </w:tcPr>
          <w:p>
            <w:pPr>
              <w:rPr>
                <w:rFonts w:hint="eastAsia"/>
              </w:rPr>
            </w:pPr>
          </w:p>
        </w:tc>
        <w:tc>
          <w:tcPr>
            <w:tcW w:w="2034" w:type="dxa"/>
            <w:tcBorders>
              <w:top w:val="nil"/>
              <w:left w:val="nil"/>
              <w:bottom w:val="single" w:color="000000" w:sz="4" w:space="0"/>
              <w:right w:val="single" w:color="000000" w:sz="4" w:space="0"/>
            </w:tcBorders>
            <w:noWrap/>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tcBorders>
              <w:top w:val="nil"/>
              <w:left w:val="single" w:color="000000" w:sz="4" w:space="0"/>
              <w:bottom w:val="single" w:color="000000" w:sz="4" w:space="0"/>
              <w:right w:val="single" w:color="000000" w:sz="4" w:space="0"/>
            </w:tcBorders>
            <w:noWrap/>
            <w:vAlign w:val="center"/>
          </w:tcPr>
          <w:p>
            <w:pPr>
              <w:rPr>
                <w:rFonts w:hint="eastAsia"/>
              </w:rPr>
            </w:pPr>
          </w:p>
        </w:tc>
        <w:tc>
          <w:tcPr>
            <w:tcW w:w="1342" w:type="dxa"/>
            <w:tcBorders>
              <w:top w:val="nil"/>
              <w:left w:val="nil"/>
              <w:bottom w:val="single" w:color="000000" w:sz="4" w:space="0"/>
              <w:right w:val="single" w:color="000000" w:sz="4" w:space="0"/>
            </w:tcBorders>
            <w:noWrap/>
            <w:vAlign w:val="center"/>
          </w:tcPr>
          <w:p>
            <w:pPr>
              <w:rPr>
                <w:rFonts w:hint="eastAsia"/>
              </w:rPr>
            </w:pPr>
          </w:p>
        </w:tc>
        <w:tc>
          <w:tcPr>
            <w:tcW w:w="2025" w:type="dxa"/>
            <w:tcBorders>
              <w:top w:val="nil"/>
              <w:left w:val="nil"/>
              <w:bottom w:val="single" w:color="000000" w:sz="4" w:space="0"/>
              <w:right w:val="single" w:color="000000" w:sz="4" w:space="0"/>
            </w:tcBorders>
            <w:noWrap/>
            <w:vAlign w:val="center"/>
          </w:tcPr>
          <w:p>
            <w:pPr>
              <w:rPr>
                <w:rFonts w:hint="eastAsia"/>
              </w:rPr>
            </w:pPr>
          </w:p>
        </w:tc>
        <w:tc>
          <w:tcPr>
            <w:tcW w:w="2025" w:type="dxa"/>
            <w:tcBorders>
              <w:top w:val="nil"/>
              <w:left w:val="nil"/>
              <w:bottom w:val="single" w:color="000000" w:sz="4" w:space="0"/>
              <w:right w:val="single" w:color="000000" w:sz="4" w:space="0"/>
            </w:tcBorders>
            <w:noWrap/>
            <w:vAlign w:val="center"/>
          </w:tcPr>
          <w:p>
            <w:pPr>
              <w:rPr>
                <w:rFonts w:hint="eastAsia"/>
              </w:rPr>
            </w:pPr>
          </w:p>
        </w:tc>
        <w:tc>
          <w:tcPr>
            <w:tcW w:w="2026" w:type="dxa"/>
            <w:tcBorders>
              <w:top w:val="nil"/>
              <w:left w:val="nil"/>
              <w:bottom w:val="single" w:color="000000" w:sz="4" w:space="0"/>
              <w:right w:val="single" w:color="000000" w:sz="4" w:space="0"/>
            </w:tcBorders>
            <w:noWrap/>
            <w:vAlign w:val="center"/>
          </w:tcPr>
          <w:p>
            <w:pPr>
              <w:rPr>
                <w:rFonts w:hint="eastAsia"/>
              </w:rPr>
            </w:pPr>
          </w:p>
        </w:tc>
        <w:tc>
          <w:tcPr>
            <w:tcW w:w="2027" w:type="dxa"/>
            <w:tcBorders>
              <w:top w:val="nil"/>
              <w:left w:val="nil"/>
              <w:bottom w:val="single" w:color="000000" w:sz="4" w:space="0"/>
              <w:right w:val="single" w:color="000000" w:sz="4" w:space="0"/>
            </w:tcBorders>
            <w:noWrap/>
            <w:vAlign w:val="center"/>
          </w:tcPr>
          <w:p>
            <w:pPr>
              <w:rPr>
                <w:rFonts w:hint="eastAsia"/>
              </w:rPr>
            </w:pPr>
          </w:p>
        </w:tc>
        <w:tc>
          <w:tcPr>
            <w:tcW w:w="2026" w:type="dxa"/>
            <w:tcBorders>
              <w:top w:val="nil"/>
              <w:left w:val="nil"/>
              <w:bottom w:val="single" w:color="000000" w:sz="4" w:space="0"/>
              <w:right w:val="single" w:color="000000" w:sz="4" w:space="0"/>
            </w:tcBorders>
            <w:noWrap/>
            <w:vAlign w:val="center"/>
          </w:tcPr>
          <w:p>
            <w:pPr>
              <w:rPr>
                <w:rFonts w:hint="eastAsia"/>
              </w:rPr>
            </w:pPr>
          </w:p>
        </w:tc>
        <w:tc>
          <w:tcPr>
            <w:tcW w:w="2034" w:type="dxa"/>
            <w:tcBorders>
              <w:top w:val="nil"/>
              <w:left w:val="nil"/>
              <w:bottom w:val="single" w:color="000000" w:sz="4" w:space="0"/>
              <w:right w:val="single" w:color="000000" w:sz="4" w:space="0"/>
            </w:tcBorders>
            <w:noWrap/>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tcBorders>
              <w:top w:val="nil"/>
              <w:left w:val="single" w:color="000000" w:sz="4" w:space="0"/>
              <w:bottom w:val="single" w:color="000000" w:sz="4" w:space="0"/>
              <w:right w:val="single" w:color="000000" w:sz="4" w:space="0"/>
            </w:tcBorders>
            <w:noWrap/>
            <w:vAlign w:val="center"/>
          </w:tcPr>
          <w:p>
            <w:pPr>
              <w:rPr>
                <w:rFonts w:hint="eastAsia"/>
              </w:rPr>
            </w:pPr>
          </w:p>
        </w:tc>
        <w:tc>
          <w:tcPr>
            <w:tcW w:w="1342" w:type="dxa"/>
            <w:tcBorders>
              <w:top w:val="nil"/>
              <w:left w:val="nil"/>
              <w:bottom w:val="single" w:color="000000" w:sz="4" w:space="0"/>
              <w:right w:val="single" w:color="000000" w:sz="4" w:space="0"/>
            </w:tcBorders>
            <w:noWrap/>
            <w:vAlign w:val="center"/>
          </w:tcPr>
          <w:p>
            <w:pPr>
              <w:rPr>
                <w:rFonts w:hint="eastAsia"/>
              </w:rPr>
            </w:pPr>
          </w:p>
        </w:tc>
        <w:tc>
          <w:tcPr>
            <w:tcW w:w="2025" w:type="dxa"/>
            <w:tcBorders>
              <w:top w:val="nil"/>
              <w:left w:val="nil"/>
              <w:bottom w:val="single" w:color="000000" w:sz="4" w:space="0"/>
              <w:right w:val="single" w:color="000000" w:sz="4" w:space="0"/>
            </w:tcBorders>
            <w:noWrap/>
            <w:vAlign w:val="center"/>
          </w:tcPr>
          <w:p>
            <w:pPr>
              <w:rPr>
                <w:rFonts w:hint="eastAsia"/>
              </w:rPr>
            </w:pPr>
          </w:p>
        </w:tc>
        <w:tc>
          <w:tcPr>
            <w:tcW w:w="2025" w:type="dxa"/>
            <w:tcBorders>
              <w:top w:val="nil"/>
              <w:left w:val="nil"/>
              <w:bottom w:val="single" w:color="000000" w:sz="4" w:space="0"/>
              <w:right w:val="single" w:color="000000" w:sz="4" w:space="0"/>
            </w:tcBorders>
            <w:noWrap/>
            <w:vAlign w:val="center"/>
          </w:tcPr>
          <w:p>
            <w:pPr>
              <w:rPr>
                <w:rFonts w:hint="eastAsia"/>
              </w:rPr>
            </w:pPr>
          </w:p>
        </w:tc>
        <w:tc>
          <w:tcPr>
            <w:tcW w:w="2026" w:type="dxa"/>
            <w:tcBorders>
              <w:top w:val="nil"/>
              <w:left w:val="nil"/>
              <w:bottom w:val="single" w:color="000000" w:sz="4" w:space="0"/>
              <w:right w:val="single" w:color="000000" w:sz="4" w:space="0"/>
            </w:tcBorders>
            <w:noWrap/>
            <w:vAlign w:val="center"/>
          </w:tcPr>
          <w:p>
            <w:pPr>
              <w:rPr>
                <w:rFonts w:hint="eastAsia"/>
              </w:rPr>
            </w:pPr>
          </w:p>
        </w:tc>
        <w:tc>
          <w:tcPr>
            <w:tcW w:w="2027" w:type="dxa"/>
            <w:tcBorders>
              <w:top w:val="nil"/>
              <w:left w:val="nil"/>
              <w:bottom w:val="single" w:color="000000" w:sz="4" w:space="0"/>
              <w:right w:val="single" w:color="000000" w:sz="4" w:space="0"/>
            </w:tcBorders>
            <w:noWrap/>
            <w:vAlign w:val="center"/>
          </w:tcPr>
          <w:p>
            <w:pPr>
              <w:rPr>
                <w:rFonts w:hint="eastAsia"/>
              </w:rPr>
            </w:pPr>
          </w:p>
        </w:tc>
        <w:tc>
          <w:tcPr>
            <w:tcW w:w="2026" w:type="dxa"/>
            <w:tcBorders>
              <w:top w:val="nil"/>
              <w:left w:val="nil"/>
              <w:bottom w:val="single" w:color="000000" w:sz="4" w:space="0"/>
              <w:right w:val="single" w:color="000000" w:sz="4" w:space="0"/>
            </w:tcBorders>
            <w:noWrap/>
            <w:vAlign w:val="center"/>
          </w:tcPr>
          <w:p>
            <w:pPr>
              <w:rPr>
                <w:rFonts w:hint="eastAsia"/>
              </w:rPr>
            </w:pPr>
          </w:p>
        </w:tc>
        <w:tc>
          <w:tcPr>
            <w:tcW w:w="2034" w:type="dxa"/>
            <w:tcBorders>
              <w:top w:val="nil"/>
              <w:left w:val="nil"/>
              <w:bottom w:val="single" w:color="000000" w:sz="4" w:space="0"/>
              <w:right w:val="single" w:color="000000" w:sz="4" w:space="0"/>
            </w:tcBorders>
            <w:noWrap/>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11" w:type="dxa"/>
            <w:gridSpan w:val="8"/>
            <w:tcBorders>
              <w:top w:val="nil"/>
              <w:left w:val="single" w:color="000000" w:sz="4" w:space="0"/>
              <w:bottom w:val="single" w:color="000000" w:sz="4" w:space="0"/>
              <w:right w:val="single" w:color="000000" w:sz="4" w:space="0"/>
            </w:tcBorders>
            <w:noWrap/>
            <w:vAlign w:val="center"/>
          </w:tcPr>
          <w:p>
            <w:pPr>
              <w:rPr>
                <w:rFonts w:hint="eastAsia"/>
              </w:rPr>
            </w:pPr>
            <w:r>
              <w:rPr>
                <w:rFonts w:hint="eastAsia"/>
              </w:rPr>
              <w:t>注：本表反映部门本年度</w:t>
            </w:r>
            <w:r>
              <w:rPr>
                <w:rFonts w:hint="eastAsia"/>
                <w:lang w:eastAsia="zh-CN"/>
              </w:rPr>
              <w:t>国有资本经营</w:t>
            </w:r>
            <w:r>
              <w:rPr>
                <w:rFonts w:hint="eastAsia"/>
              </w:rPr>
              <w:t>预算财政拨款收入、支出及结转和结余情况。</w:t>
            </w:r>
          </w:p>
        </w:tc>
      </w:tr>
    </w:tbl>
    <w:p>
      <w:pPr>
        <w:widowControl/>
        <w:spacing w:line="59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eastAsia="zh-CN"/>
        </w:rPr>
        <w:t>国有资本经营</w:t>
      </w:r>
      <w:r>
        <w:rPr>
          <w:rFonts w:hint="eastAsia" w:ascii="仿宋_GB2312" w:hAnsi="仿宋_GB2312" w:eastAsia="仿宋_GB2312" w:cs="仿宋_GB2312"/>
          <w:sz w:val="32"/>
          <w:szCs w:val="32"/>
        </w:rPr>
        <w:t>收入，故本表无数据。</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w:t>
      </w:r>
      <w:r>
        <w:rPr>
          <w:rFonts w:ascii="黑体" w:hAnsi="黑体" w:eastAsia="黑体" w:cs="黑体"/>
          <w:sz w:val="48"/>
          <w:szCs w:val="48"/>
        </w:rPr>
        <w:t>2</w:t>
      </w:r>
      <w:r>
        <w:rPr>
          <w:rFonts w:hint="eastAsia" w:ascii="黑体" w:hAnsi="黑体" w:eastAsia="黑体" w:cs="黑体"/>
          <w:sz w:val="48"/>
          <w:szCs w:val="48"/>
        </w:rPr>
        <w:t>1年度部门决算情况说明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lang w:val="zh-CN"/>
        </w:rPr>
        <w:t>202</w:t>
      </w:r>
      <w:r>
        <w:rPr>
          <w:rFonts w:hint="eastAsia" w:ascii="仿宋" w:hAnsi="仿宋" w:eastAsia="仿宋" w:cs="仿宋"/>
          <w:sz w:val="32"/>
          <w:szCs w:val="32"/>
        </w:rPr>
        <w:t>1</w:t>
      </w:r>
      <w:r>
        <w:rPr>
          <w:rFonts w:hint="eastAsia" w:ascii="仿宋" w:hAnsi="仿宋" w:eastAsia="仿宋" w:cs="仿宋"/>
          <w:sz w:val="32"/>
          <w:szCs w:val="32"/>
          <w:lang w:val="zh-CN"/>
        </w:rPr>
        <w:t>年度收</w:t>
      </w:r>
      <w:r>
        <w:rPr>
          <w:rFonts w:hint="eastAsia" w:ascii="仿宋" w:hAnsi="仿宋" w:eastAsia="仿宋" w:cs="仿宋"/>
          <w:sz w:val="32"/>
          <w:szCs w:val="32"/>
        </w:rPr>
        <w:t>入为78220.7万元，较去年同期83993.87万元减少5773.17万元，同比下降6.87%；支出为81652.74万元，较去年同期80065.13万元增加1587.61万元，同比增长1.98%。</w:t>
      </w:r>
      <w:r>
        <w:rPr>
          <w:rFonts w:hint="eastAsia" w:ascii="仿宋" w:hAnsi="仿宋" w:eastAsia="仿宋" w:cs="仿宋"/>
          <w:sz w:val="32"/>
          <w:szCs w:val="32"/>
          <w:lang w:val="zh-CN"/>
        </w:rPr>
        <w:t>与上年度相比，收</w:t>
      </w:r>
      <w:r>
        <w:rPr>
          <w:rFonts w:hint="eastAsia" w:ascii="仿宋" w:hAnsi="仿宋" w:eastAsia="仿宋" w:cs="仿宋"/>
          <w:sz w:val="32"/>
          <w:szCs w:val="32"/>
        </w:rPr>
        <w:t>入有所下降</w:t>
      </w:r>
      <w:r>
        <w:rPr>
          <w:rFonts w:hint="eastAsia" w:ascii="仿宋" w:hAnsi="仿宋" w:eastAsia="仿宋" w:cs="仿宋"/>
          <w:sz w:val="32"/>
          <w:szCs w:val="32"/>
          <w:lang w:val="zh-CN"/>
        </w:rPr>
        <w:t>，</w:t>
      </w:r>
      <w:r>
        <w:rPr>
          <w:rFonts w:hint="eastAsia" w:ascii="仿宋" w:hAnsi="仿宋" w:eastAsia="仿宋" w:cs="仿宋"/>
          <w:sz w:val="32"/>
          <w:szCs w:val="32"/>
        </w:rPr>
        <w:t>支出有所增长，主要原因是突发新冠肺炎疫情，导致收入有所降低；债务性收入、支出增加较多导致增幅较大。</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202</w:t>
      </w:r>
      <w:r>
        <w:rPr>
          <w:rFonts w:hint="eastAsia" w:ascii="仿宋" w:hAnsi="仿宋" w:eastAsia="仿宋" w:cs="仿宋"/>
          <w:sz w:val="32"/>
          <w:szCs w:val="32"/>
        </w:rPr>
        <w:t>1</w:t>
      </w:r>
      <w:r>
        <w:rPr>
          <w:rFonts w:hint="eastAsia" w:ascii="仿宋" w:hAnsi="仿宋" w:eastAsia="仿宋" w:cs="仿宋"/>
          <w:sz w:val="32"/>
          <w:szCs w:val="32"/>
          <w:lang w:val="zh-CN"/>
        </w:rPr>
        <w:t>年度收入合计</w:t>
      </w:r>
      <w:r>
        <w:rPr>
          <w:rFonts w:hint="eastAsia" w:ascii="仿宋" w:hAnsi="仿宋" w:eastAsia="仿宋" w:cs="仿宋"/>
          <w:sz w:val="32"/>
          <w:szCs w:val="32"/>
        </w:rPr>
        <w:t>78220.7</w:t>
      </w:r>
      <w:r>
        <w:rPr>
          <w:rFonts w:hint="eastAsia" w:ascii="仿宋" w:hAnsi="仿宋" w:eastAsia="仿宋" w:cs="仿宋"/>
          <w:sz w:val="32"/>
          <w:szCs w:val="32"/>
          <w:lang w:val="zh-CN"/>
        </w:rPr>
        <w:t>万元，其中：财政拨款收入</w:t>
      </w:r>
      <w:r>
        <w:rPr>
          <w:rFonts w:hint="eastAsia" w:ascii="仿宋" w:hAnsi="仿宋" w:eastAsia="仿宋" w:cs="仿宋"/>
          <w:sz w:val="32"/>
          <w:szCs w:val="32"/>
        </w:rPr>
        <w:t>2185.53</w:t>
      </w:r>
      <w:r>
        <w:rPr>
          <w:rFonts w:hint="eastAsia" w:ascii="仿宋" w:hAnsi="仿宋" w:eastAsia="仿宋" w:cs="仿宋"/>
          <w:sz w:val="32"/>
          <w:szCs w:val="32"/>
          <w:lang w:val="zh-CN"/>
        </w:rPr>
        <w:t>万元，占</w:t>
      </w:r>
      <w:r>
        <w:rPr>
          <w:rFonts w:hint="eastAsia" w:ascii="仿宋" w:hAnsi="仿宋" w:eastAsia="仿宋" w:cs="仿宋"/>
          <w:sz w:val="32"/>
          <w:szCs w:val="32"/>
        </w:rPr>
        <w:t>2.796</w:t>
      </w:r>
      <w:r>
        <w:rPr>
          <w:rFonts w:hint="eastAsia" w:ascii="仿宋" w:hAnsi="仿宋" w:eastAsia="仿宋" w:cs="仿宋"/>
          <w:sz w:val="32"/>
          <w:szCs w:val="32"/>
          <w:lang w:val="zh-CN"/>
        </w:rPr>
        <w:t>%；事业收入</w:t>
      </w:r>
      <w:r>
        <w:rPr>
          <w:rFonts w:hint="eastAsia" w:ascii="仿宋" w:hAnsi="仿宋" w:eastAsia="仿宋" w:cs="仿宋"/>
          <w:sz w:val="32"/>
          <w:szCs w:val="32"/>
        </w:rPr>
        <w:t>49519.2</w:t>
      </w:r>
      <w:r>
        <w:rPr>
          <w:rFonts w:hint="eastAsia" w:ascii="仿宋" w:hAnsi="仿宋" w:eastAsia="仿宋" w:cs="仿宋"/>
          <w:sz w:val="32"/>
          <w:szCs w:val="32"/>
          <w:lang w:val="zh-CN"/>
        </w:rPr>
        <w:t>万元，占</w:t>
      </w:r>
      <w:r>
        <w:rPr>
          <w:rFonts w:hint="eastAsia" w:ascii="仿宋" w:hAnsi="仿宋" w:eastAsia="仿宋" w:cs="仿宋"/>
          <w:sz w:val="32"/>
          <w:szCs w:val="32"/>
        </w:rPr>
        <w:t>63.31%</w:t>
      </w:r>
      <w:r>
        <w:rPr>
          <w:rFonts w:hint="eastAsia" w:ascii="仿宋" w:hAnsi="仿宋" w:eastAsia="仿宋" w:cs="仿宋"/>
          <w:sz w:val="32"/>
          <w:szCs w:val="32"/>
          <w:lang w:val="zh-CN"/>
        </w:rPr>
        <w:t>；其他收入</w:t>
      </w:r>
      <w:r>
        <w:rPr>
          <w:rFonts w:hint="eastAsia" w:ascii="仿宋" w:hAnsi="仿宋" w:eastAsia="仿宋" w:cs="仿宋"/>
          <w:sz w:val="32"/>
          <w:szCs w:val="32"/>
        </w:rPr>
        <w:t>26515.96万元，</w:t>
      </w:r>
      <w:r>
        <w:rPr>
          <w:rFonts w:hint="eastAsia" w:ascii="仿宋" w:hAnsi="仿宋" w:eastAsia="仿宋" w:cs="仿宋"/>
          <w:sz w:val="32"/>
          <w:szCs w:val="32"/>
          <w:lang w:val="zh-CN"/>
        </w:rPr>
        <w:t>占</w:t>
      </w:r>
      <w:r>
        <w:rPr>
          <w:rFonts w:hint="eastAsia" w:ascii="仿宋" w:hAnsi="仿宋" w:eastAsia="仿宋" w:cs="仿宋"/>
          <w:sz w:val="32"/>
          <w:szCs w:val="32"/>
        </w:rPr>
        <w:t>33.9</w:t>
      </w:r>
      <w:r>
        <w:rPr>
          <w:rFonts w:hint="eastAsia" w:ascii="仿宋" w:hAnsi="仿宋" w:eastAsia="仿宋" w:cs="仿宋"/>
          <w:sz w:val="32"/>
          <w:szCs w:val="32"/>
          <w:lang w:val="zh-CN"/>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202</w:t>
      </w:r>
      <w:r>
        <w:rPr>
          <w:rFonts w:hint="eastAsia" w:ascii="仿宋" w:hAnsi="仿宋" w:eastAsia="仿宋" w:cs="仿宋"/>
          <w:sz w:val="32"/>
          <w:szCs w:val="32"/>
        </w:rPr>
        <w:t>1</w:t>
      </w:r>
      <w:r>
        <w:rPr>
          <w:rFonts w:hint="eastAsia" w:ascii="仿宋" w:hAnsi="仿宋" w:eastAsia="仿宋" w:cs="仿宋"/>
          <w:sz w:val="32"/>
          <w:szCs w:val="32"/>
          <w:lang w:val="zh-CN"/>
        </w:rPr>
        <w:t>年度支出合计</w:t>
      </w:r>
      <w:r>
        <w:rPr>
          <w:rFonts w:hint="eastAsia" w:ascii="仿宋" w:hAnsi="仿宋" w:eastAsia="仿宋" w:cs="仿宋"/>
          <w:sz w:val="32"/>
          <w:szCs w:val="32"/>
        </w:rPr>
        <w:t>81652.74</w:t>
      </w:r>
      <w:r>
        <w:rPr>
          <w:rFonts w:hint="eastAsia" w:ascii="仿宋" w:hAnsi="仿宋" w:eastAsia="仿宋" w:cs="仿宋"/>
          <w:sz w:val="32"/>
          <w:szCs w:val="32"/>
          <w:lang w:val="zh-CN"/>
        </w:rPr>
        <w:t>万元，其中：基本支出</w:t>
      </w:r>
      <w:r>
        <w:rPr>
          <w:rFonts w:hint="eastAsia" w:ascii="仿宋" w:hAnsi="仿宋" w:eastAsia="仿宋" w:cs="仿宋"/>
          <w:sz w:val="32"/>
          <w:szCs w:val="32"/>
        </w:rPr>
        <w:t>80849.74</w:t>
      </w:r>
      <w:r>
        <w:rPr>
          <w:rFonts w:hint="eastAsia" w:ascii="仿宋" w:hAnsi="仿宋" w:eastAsia="仿宋" w:cs="仿宋"/>
          <w:sz w:val="32"/>
          <w:szCs w:val="32"/>
          <w:lang w:val="zh-CN"/>
        </w:rPr>
        <w:t>万元，占</w:t>
      </w:r>
      <w:r>
        <w:rPr>
          <w:rFonts w:hint="eastAsia" w:ascii="仿宋" w:hAnsi="仿宋" w:eastAsia="仿宋" w:cs="仿宋"/>
          <w:sz w:val="32"/>
          <w:szCs w:val="32"/>
        </w:rPr>
        <w:t>99.02</w:t>
      </w:r>
      <w:r>
        <w:rPr>
          <w:rFonts w:hint="eastAsia" w:ascii="仿宋" w:hAnsi="仿宋" w:eastAsia="仿宋" w:cs="仿宋"/>
          <w:sz w:val="32"/>
          <w:szCs w:val="32"/>
          <w:lang w:val="zh-CN"/>
        </w:rPr>
        <w:t>%；项目支出</w:t>
      </w:r>
      <w:r>
        <w:rPr>
          <w:rFonts w:hint="eastAsia" w:ascii="仿宋" w:hAnsi="仿宋" w:eastAsia="仿宋" w:cs="仿宋"/>
          <w:sz w:val="32"/>
          <w:szCs w:val="32"/>
        </w:rPr>
        <w:t>803</w:t>
      </w:r>
      <w:r>
        <w:rPr>
          <w:rFonts w:hint="eastAsia" w:ascii="仿宋" w:hAnsi="仿宋" w:eastAsia="仿宋" w:cs="仿宋"/>
          <w:sz w:val="32"/>
          <w:szCs w:val="32"/>
          <w:lang w:val="zh-CN"/>
        </w:rPr>
        <w:t>万元，占</w:t>
      </w:r>
      <w:r>
        <w:rPr>
          <w:rFonts w:hint="eastAsia" w:ascii="仿宋" w:hAnsi="仿宋" w:eastAsia="仿宋" w:cs="仿宋"/>
          <w:sz w:val="32"/>
          <w:szCs w:val="32"/>
        </w:rPr>
        <w:t>0.98</w:t>
      </w:r>
      <w:r>
        <w:rPr>
          <w:rFonts w:hint="eastAsia" w:ascii="仿宋" w:hAnsi="仿宋" w:eastAsia="仿宋" w:cs="仿宋"/>
          <w:sz w:val="32"/>
          <w:szCs w:val="32"/>
          <w:lang w:val="zh-CN"/>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ind w:firstLine="640" w:firstLineChars="200"/>
        <w:jc w:val="left"/>
        <w:rPr>
          <w:rFonts w:ascii="仿宋_GB2312" w:hAnsi="仿宋_GB2312" w:eastAsia="仿宋" w:cs="仿宋_GB2312"/>
          <w:sz w:val="32"/>
          <w:szCs w:val="32"/>
        </w:rPr>
      </w:pPr>
      <w:r>
        <w:rPr>
          <w:rFonts w:hint="eastAsia" w:ascii="仿宋" w:hAnsi="仿宋" w:eastAsia="仿宋" w:cs="仿宋"/>
          <w:sz w:val="32"/>
          <w:szCs w:val="32"/>
          <w:lang w:val="zh-CN"/>
        </w:rPr>
        <w:t>202</w:t>
      </w:r>
      <w:r>
        <w:rPr>
          <w:rFonts w:hint="eastAsia" w:ascii="仿宋" w:hAnsi="仿宋" w:eastAsia="仿宋" w:cs="仿宋"/>
          <w:sz w:val="32"/>
          <w:szCs w:val="32"/>
        </w:rPr>
        <w:t>1</w:t>
      </w:r>
      <w:r>
        <w:rPr>
          <w:rFonts w:hint="eastAsia" w:ascii="仿宋" w:hAnsi="仿宋" w:eastAsia="仿宋" w:cs="仿宋"/>
          <w:sz w:val="32"/>
          <w:szCs w:val="32"/>
          <w:lang w:val="zh-CN"/>
        </w:rPr>
        <w:t>年度</w:t>
      </w:r>
      <w:r>
        <w:rPr>
          <w:rFonts w:hint="eastAsia" w:ascii="仿宋" w:hAnsi="仿宋" w:eastAsia="仿宋" w:cs="仿宋"/>
          <w:sz w:val="32"/>
          <w:szCs w:val="32"/>
        </w:rPr>
        <w:t>财政拨款</w:t>
      </w:r>
      <w:r>
        <w:rPr>
          <w:rFonts w:hint="eastAsia" w:ascii="仿宋" w:hAnsi="仿宋" w:eastAsia="仿宋" w:cs="仿宋"/>
          <w:sz w:val="32"/>
          <w:szCs w:val="32"/>
          <w:lang w:val="zh-CN"/>
        </w:rPr>
        <w:t>收</w:t>
      </w:r>
      <w:r>
        <w:rPr>
          <w:rFonts w:hint="eastAsia" w:ascii="仿宋" w:hAnsi="仿宋" w:eastAsia="仿宋" w:cs="仿宋"/>
          <w:sz w:val="32"/>
          <w:szCs w:val="32"/>
        </w:rPr>
        <w:t>入为2185.53万元，较去年同期3749.94万元减少1564.41万元，同比降低41.72%；支出为2542.14万元，较去年同期3242.52万元减少700.38万元，同比降低21.6%。</w:t>
      </w:r>
      <w:r>
        <w:rPr>
          <w:rFonts w:hint="eastAsia" w:ascii="仿宋" w:hAnsi="仿宋" w:eastAsia="仿宋" w:cs="仿宋"/>
          <w:sz w:val="32"/>
          <w:szCs w:val="32"/>
          <w:lang w:val="zh-CN"/>
        </w:rPr>
        <w:t>与上年度相比，收、支</w:t>
      </w:r>
      <w:r>
        <w:rPr>
          <w:rFonts w:hint="eastAsia" w:ascii="仿宋" w:hAnsi="仿宋" w:eastAsia="仿宋" w:cs="仿宋"/>
          <w:sz w:val="32"/>
          <w:szCs w:val="32"/>
        </w:rPr>
        <w:t>均有所减少，主要原因是20年</w:t>
      </w:r>
      <w:r>
        <w:rPr>
          <w:rFonts w:hint="eastAsia" w:ascii="仿宋" w:hAnsi="仿宋" w:eastAsia="仿宋" w:cs="仿宋"/>
          <w:color w:val="000000"/>
          <w:kern w:val="0"/>
          <w:sz w:val="32"/>
          <w:szCs w:val="32"/>
          <w:lang w:bidi="ar"/>
        </w:rPr>
        <w:t>公立医院</w:t>
      </w:r>
      <w:r>
        <w:rPr>
          <w:rFonts w:hint="eastAsia" w:ascii="仿宋" w:hAnsi="仿宋" w:eastAsia="仿宋" w:cs="仿宋"/>
          <w:sz w:val="32"/>
          <w:szCs w:val="32"/>
        </w:rPr>
        <w:t>收到</w:t>
      </w:r>
      <w:r>
        <w:rPr>
          <w:rFonts w:hint="eastAsia" w:ascii="仿宋" w:hAnsi="仿宋" w:eastAsia="仿宋" w:cs="仿宋"/>
          <w:color w:val="000000"/>
          <w:kern w:val="0"/>
          <w:sz w:val="32"/>
          <w:szCs w:val="32"/>
          <w:lang w:bidi="ar"/>
        </w:rPr>
        <w:t>公立医院的财政拨款收入增长幅度较大以及公立医院的新冠疫情相关业务量增加导致支出的增加。</w:t>
      </w:r>
    </w:p>
    <w:p>
      <w:pPr>
        <w:widowControl/>
        <w:numPr>
          <w:ilvl w:val="0"/>
          <w:numId w:val="1"/>
        </w:numPr>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一般公共预算财政拨款支出决算情况说明</w:t>
      </w:r>
    </w:p>
    <w:p>
      <w:pPr>
        <w:widowControl/>
        <w:numPr>
          <w:numId w:val="0"/>
        </w:numPr>
        <w:spacing w:line="59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 w:hAnsi="仿宋" w:eastAsia="仿宋" w:cs="仿宋"/>
          <w:sz w:val="32"/>
          <w:szCs w:val="32"/>
          <w:highlight w:val="yellow"/>
        </w:rPr>
      </w:pPr>
      <w:r>
        <w:rPr>
          <w:rFonts w:hint="eastAsia" w:ascii="仿宋" w:hAnsi="仿宋" w:eastAsia="仿宋" w:cs="仿宋"/>
          <w:sz w:val="32"/>
          <w:szCs w:val="32"/>
          <w:lang w:val="zh-CN"/>
        </w:rPr>
        <w:t>202</w:t>
      </w:r>
      <w:r>
        <w:rPr>
          <w:rFonts w:hint="eastAsia" w:ascii="仿宋" w:hAnsi="仿宋" w:eastAsia="仿宋" w:cs="仿宋"/>
          <w:sz w:val="32"/>
          <w:szCs w:val="32"/>
        </w:rPr>
        <w:t>1</w:t>
      </w:r>
      <w:r>
        <w:rPr>
          <w:rFonts w:hint="eastAsia" w:ascii="仿宋" w:hAnsi="仿宋" w:eastAsia="仿宋" w:cs="仿宋"/>
          <w:sz w:val="32"/>
          <w:szCs w:val="32"/>
          <w:lang w:val="zh-CN"/>
        </w:rPr>
        <w:t>年度一般公共预算财政拨款支出</w:t>
      </w:r>
      <w:r>
        <w:rPr>
          <w:rFonts w:hint="eastAsia" w:ascii="仿宋" w:hAnsi="仿宋" w:eastAsia="仿宋" w:cs="仿宋"/>
          <w:sz w:val="32"/>
          <w:szCs w:val="32"/>
        </w:rPr>
        <w:t>2542.14</w:t>
      </w:r>
      <w:r>
        <w:rPr>
          <w:rFonts w:hint="eastAsia" w:ascii="仿宋" w:hAnsi="仿宋" w:eastAsia="仿宋" w:cs="仿宋"/>
          <w:sz w:val="32"/>
          <w:szCs w:val="32"/>
          <w:lang w:val="zh-CN"/>
        </w:rPr>
        <w:t>万元，占支出合计的</w:t>
      </w:r>
      <w:r>
        <w:rPr>
          <w:rFonts w:hint="eastAsia" w:ascii="仿宋" w:hAnsi="仿宋" w:eastAsia="仿宋" w:cs="仿宋"/>
          <w:sz w:val="32"/>
          <w:szCs w:val="32"/>
        </w:rPr>
        <w:t>3.11</w:t>
      </w:r>
      <w:r>
        <w:rPr>
          <w:rFonts w:hint="eastAsia" w:ascii="仿宋" w:hAnsi="仿宋" w:eastAsia="仿宋" w:cs="仿宋"/>
          <w:sz w:val="32"/>
          <w:szCs w:val="32"/>
          <w:lang w:val="zh-CN"/>
        </w:rPr>
        <w:t>%。与上年度相比，一般公共预算财政拨款支出</w:t>
      </w:r>
      <w:r>
        <w:rPr>
          <w:rFonts w:hint="eastAsia" w:ascii="仿宋" w:hAnsi="仿宋" w:eastAsia="仿宋" w:cs="仿宋"/>
          <w:sz w:val="32"/>
          <w:szCs w:val="32"/>
        </w:rPr>
        <w:t>2842.52减少300.38</w:t>
      </w:r>
      <w:r>
        <w:rPr>
          <w:rFonts w:hint="eastAsia" w:ascii="仿宋" w:hAnsi="仿宋" w:eastAsia="仿宋" w:cs="仿宋"/>
          <w:sz w:val="32"/>
          <w:szCs w:val="32"/>
          <w:lang w:val="zh-CN"/>
        </w:rPr>
        <w:t>万元，</w:t>
      </w:r>
      <w:r>
        <w:rPr>
          <w:rFonts w:hint="eastAsia" w:ascii="仿宋" w:hAnsi="仿宋" w:eastAsia="仿宋" w:cs="仿宋"/>
          <w:sz w:val="32"/>
          <w:szCs w:val="32"/>
        </w:rPr>
        <w:t>降低10.57</w:t>
      </w:r>
      <w:r>
        <w:rPr>
          <w:rFonts w:hint="eastAsia" w:ascii="仿宋" w:hAnsi="仿宋" w:eastAsia="仿宋" w:cs="仿宋"/>
          <w:sz w:val="32"/>
          <w:szCs w:val="32"/>
          <w:lang w:val="zh-CN"/>
        </w:rPr>
        <w:t>%。</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2021年度一般公共预算财政拨款支出2542.14万元，主要用于以下方面：</w:t>
      </w:r>
      <w:r>
        <w:rPr>
          <w:rFonts w:hint="eastAsia" w:ascii="仿宋" w:hAnsi="仿宋" w:eastAsia="仿宋" w:cs="仿宋"/>
          <w:color w:val="000000"/>
          <w:kern w:val="0"/>
          <w:sz w:val="31"/>
          <w:szCs w:val="31"/>
          <w:lang w:bidi="ar"/>
        </w:rPr>
        <w:t>卫生健康支出（类）支出2297.51万元，占90.38%；灾害防治及应急管理支出（类）支出 87万元，占 3.42%</w:t>
      </w:r>
      <w:r>
        <w:rPr>
          <w:rFonts w:hint="eastAsia" w:ascii="仿宋" w:hAnsi="仿宋" w:eastAsia="仿宋" w:cs="仿宋"/>
          <w:sz w:val="32"/>
          <w:szCs w:val="32"/>
        </w:rPr>
        <w:t>。</w:t>
      </w:r>
    </w:p>
    <w:p>
      <w:pPr>
        <w:widowControl/>
        <w:numPr>
          <w:ilvl w:val="0"/>
          <w:numId w:val="2"/>
        </w:numPr>
        <w:spacing w:line="59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具体情况</w:t>
      </w:r>
      <w:r>
        <w:rPr>
          <w:rFonts w:hint="eastAsia" w:ascii="楷体_GB2312" w:hAnsi="楷体_GB2312" w:eastAsia="楷体_GB2312" w:cs="楷体_GB2312"/>
          <w:b/>
          <w:bCs/>
          <w:sz w:val="32"/>
          <w:szCs w:val="32"/>
          <w:lang w:eastAsia="zh-CN"/>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2542.14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2542.14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w:t>
      </w:r>
    </w:p>
    <w:p>
      <w:pPr>
        <w:keepNext w:val="0"/>
        <w:keepLines w:val="0"/>
        <w:widowControl/>
        <w:numPr>
          <w:ilvl w:val="0"/>
          <w:numId w:val="0"/>
        </w:numPr>
        <w:suppressLineNumbers w:val="0"/>
        <w:ind w:firstLine="622" w:firstLineChars="200"/>
        <w:jc w:val="both"/>
        <w:rPr>
          <w:rFonts w:hint="eastAsia" w:ascii="仿宋" w:hAnsi="仿宋" w:eastAsia="仿宋" w:cs="仿宋"/>
          <w:color w:val="auto"/>
          <w:kern w:val="0"/>
          <w:sz w:val="31"/>
          <w:szCs w:val="31"/>
          <w:lang w:val="en-US" w:eastAsia="zh-CN" w:bidi="ar"/>
        </w:rPr>
      </w:pPr>
      <w:r>
        <w:rPr>
          <w:rFonts w:hint="eastAsia" w:ascii="仿宋" w:hAnsi="仿宋" w:eastAsia="仿宋" w:cs="仿宋"/>
          <w:b/>
          <w:color w:val="auto"/>
          <w:kern w:val="0"/>
          <w:sz w:val="31"/>
          <w:szCs w:val="31"/>
          <w:lang w:val="en-US" w:eastAsia="zh-CN" w:bidi="ar"/>
        </w:rPr>
        <w:t>1.科学技术支出（类）</w:t>
      </w:r>
    </w:p>
    <w:p>
      <w:pPr>
        <w:keepNext w:val="0"/>
        <w:keepLines w:val="0"/>
        <w:widowControl/>
        <w:numPr>
          <w:ilvl w:val="0"/>
          <w:numId w:val="0"/>
        </w:numPr>
        <w:suppressLineNumbers w:val="0"/>
        <w:ind w:firstLine="622" w:firstLineChars="200"/>
        <w:jc w:val="both"/>
        <w:rPr>
          <w:rFonts w:hint="eastAsia" w:ascii="仿宋" w:hAnsi="仿宋" w:eastAsia="仿宋" w:cs="仿宋"/>
          <w:color w:val="auto"/>
          <w:kern w:val="0"/>
          <w:sz w:val="31"/>
          <w:szCs w:val="31"/>
          <w:lang w:val="en-US" w:eastAsia="zh-CN" w:bidi="ar"/>
        </w:rPr>
      </w:pPr>
      <w:r>
        <w:rPr>
          <w:rFonts w:hint="eastAsia" w:ascii="仿宋" w:hAnsi="仿宋" w:eastAsia="仿宋" w:cs="仿宋"/>
          <w:b/>
          <w:color w:val="auto"/>
          <w:kern w:val="0"/>
          <w:sz w:val="31"/>
          <w:szCs w:val="31"/>
          <w:lang w:val="en-US" w:eastAsia="zh-CN" w:bidi="ar"/>
        </w:rPr>
        <w:t>(1)其他技术研究与开发支出。</w:t>
      </w:r>
      <w:r>
        <w:rPr>
          <w:rFonts w:hint="eastAsia" w:ascii="仿宋" w:hAnsi="仿宋" w:eastAsia="仿宋" w:cs="仿宋"/>
          <w:color w:val="auto"/>
          <w:kern w:val="0"/>
          <w:sz w:val="31"/>
          <w:szCs w:val="31"/>
          <w:lang w:val="en-US" w:eastAsia="zh-CN" w:bidi="ar"/>
        </w:rPr>
        <w:t>年初预算为0.83万元，项目支出决算为0.83万元，完成年初预算的100%。</w:t>
      </w:r>
    </w:p>
    <w:p>
      <w:pPr>
        <w:keepNext w:val="0"/>
        <w:keepLines w:val="0"/>
        <w:widowControl/>
        <w:numPr>
          <w:ilvl w:val="0"/>
          <w:numId w:val="0"/>
        </w:numPr>
        <w:suppressLineNumbers w:val="0"/>
        <w:ind w:left="0" w:leftChars="0" w:firstLine="731" w:firstLineChars="235"/>
        <w:jc w:val="both"/>
        <w:rPr>
          <w:rFonts w:hint="eastAsia" w:ascii="仿宋" w:hAnsi="仿宋" w:eastAsia="仿宋" w:cs="仿宋"/>
          <w:b/>
          <w:color w:val="auto"/>
          <w:kern w:val="0"/>
          <w:sz w:val="31"/>
          <w:szCs w:val="31"/>
          <w:lang w:val="en-US" w:eastAsia="zh-CN" w:bidi="ar"/>
        </w:rPr>
      </w:pPr>
      <w:r>
        <w:rPr>
          <w:rFonts w:hint="eastAsia" w:ascii="仿宋" w:hAnsi="仿宋" w:eastAsia="仿宋" w:cs="仿宋"/>
          <w:b/>
          <w:color w:val="auto"/>
          <w:kern w:val="0"/>
          <w:sz w:val="31"/>
          <w:szCs w:val="31"/>
          <w:lang w:val="en-US" w:eastAsia="zh-CN" w:bidi="ar"/>
        </w:rPr>
        <w:t>2.社会保障和就业支出（类）</w:t>
      </w:r>
    </w:p>
    <w:p>
      <w:pPr>
        <w:keepNext w:val="0"/>
        <w:keepLines w:val="0"/>
        <w:widowControl/>
        <w:numPr>
          <w:ilvl w:val="0"/>
          <w:numId w:val="0"/>
        </w:numPr>
        <w:suppressLineNumbers w:val="0"/>
        <w:ind w:firstLine="622" w:firstLineChars="200"/>
        <w:jc w:val="both"/>
        <w:rPr>
          <w:rFonts w:hint="eastAsia" w:ascii="仿宋" w:hAnsi="仿宋" w:eastAsia="仿宋" w:cs="仿宋"/>
          <w:b w:val="0"/>
          <w:bCs/>
          <w:color w:val="auto"/>
          <w:kern w:val="0"/>
          <w:sz w:val="31"/>
          <w:szCs w:val="31"/>
          <w:lang w:val="en-US" w:eastAsia="zh-CN" w:bidi="ar"/>
        </w:rPr>
      </w:pPr>
      <w:r>
        <w:rPr>
          <w:rFonts w:hint="eastAsia" w:ascii="仿宋" w:hAnsi="仿宋" w:eastAsia="仿宋" w:cs="仿宋"/>
          <w:b/>
          <w:color w:val="auto"/>
          <w:kern w:val="0"/>
          <w:sz w:val="31"/>
          <w:szCs w:val="31"/>
          <w:lang w:val="en-US" w:eastAsia="zh-CN" w:bidi="ar"/>
        </w:rPr>
        <w:t>（1）机关事业单位基本养老保险缴费支出。</w:t>
      </w:r>
      <w:r>
        <w:rPr>
          <w:rFonts w:hint="eastAsia" w:ascii="仿宋" w:hAnsi="仿宋" w:eastAsia="仿宋" w:cs="仿宋"/>
          <w:b w:val="0"/>
          <w:bCs/>
          <w:color w:val="auto"/>
          <w:kern w:val="0"/>
          <w:sz w:val="31"/>
          <w:szCs w:val="31"/>
          <w:lang w:val="en-US" w:eastAsia="zh-CN" w:bidi="ar"/>
        </w:rPr>
        <w:t>年初预算为155万元，基本支出决算为155万元，</w:t>
      </w:r>
      <w:r>
        <w:rPr>
          <w:rFonts w:hint="eastAsia" w:ascii="仿宋" w:hAnsi="仿宋" w:eastAsia="仿宋" w:cs="仿宋"/>
          <w:color w:val="auto"/>
          <w:kern w:val="0"/>
          <w:sz w:val="31"/>
          <w:szCs w:val="31"/>
          <w:lang w:val="en-US" w:eastAsia="zh-CN" w:bidi="ar"/>
        </w:rPr>
        <w:t>完成年初预算的100%</w:t>
      </w:r>
      <w:r>
        <w:rPr>
          <w:rFonts w:hint="eastAsia" w:ascii="仿宋" w:hAnsi="仿宋" w:eastAsia="仿宋" w:cs="仿宋"/>
          <w:b w:val="0"/>
          <w:bCs/>
          <w:color w:val="auto"/>
          <w:kern w:val="0"/>
          <w:sz w:val="31"/>
          <w:szCs w:val="31"/>
          <w:lang w:val="en-US" w:eastAsia="zh-CN" w:bidi="ar"/>
        </w:rPr>
        <w:t>。</w:t>
      </w:r>
    </w:p>
    <w:p>
      <w:pPr>
        <w:keepNext w:val="0"/>
        <w:keepLines w:val="0"/>
        <w:widowControl/>
        <w:suppressLineNumbers w:val="0"/>
        <w:ind w:firstLine="934" w:firstLineChars="300"/>
        <w:jc w:val="both"/>
        <w:rPr>
          <w:rFonts w:hint="eastAsia" w:ascii="仿宋" w:hAnsi="仿宋" w:eastAsia="仿宋" w:cs="仿宋"/>
          <w:b/>
          <w:color w:val="auto"/>
          <w:kern w:val="0"/>
          <w:sz w:val="31"/>
          <w:szCs w:val="31"/>
          <w:lang w:val="en-US" w:eastAsia="zh-CN" w:bidi="ar"/>
        </w:rPr>
      </w:pPr>
      <w:r>
        <w:rPr>
          <w:rFonts w:hint="eastAsia" w:ascii="仿宋" w:hAnsi="仿宋" w:eastAsia="仿宋" w:cs="仿宋"/>
          <w:b/>
          <w:color w:val="auto"/>
          <w:kern w:val="0"/>
          <w:sz w:val="31"/>
          <w:szCs w:val="31"/>
          <w:lang w:val="en-US" w:eastAsia="zh-CN" w:bidi="ar"/>
        </w:rPr>
        <w:t xml:space="preserve">3.卫生健康支出 </w:t>
      </w:r>
    </w:p>
    <w:p>
      <w:pPr>
        <w:keepNext w:val="0"/>
        <w:keepLines w:val="0"/>
        <w:widowControl/>
        <w:numPr>
          <w:ilvl w:val="0"/>
          <w:numId w:val="0"/>
        </w:numPr>
        <w:suppressLineNumbers w:val="0"/>
        <w:ind w:firstLine="620" w:firstLineChars="200"/>
        <w:jc w:val="both"/>
        <w:rPr>
          <w:rFonts w:hint="eastAsia" w:ascii="仿宋" w:hAnsi="仿宋" w:eastAsia="仿宋" w:cs="仿宋"/>
          <w:b w:val="0"/>
          <w:bCs/>
          <w:color w:val="auto"/>
          <w:kern w:val="0"/>
          <w:sz w:val="31"/>
          <w:szCs w:val="31"/>
          <w:lang w:val="en-US" w:eastAsia="zh-CN" w:bidi="ar"/>
        </w:rPr>
      </w:pPr>
      <w:r>
        <w:rPr>
          <w:rFonts w:hint="eastAsia" w:ascii="仿宋" w:hAnsi="仿宋" w:eastAsia="仿宋" w:cs="仿宋"/>
          <w:color w:val="auto"/>
          <w:kern w:val="0"/>
          <w:sz w:val="31"/>
          <w:szCs w:val="31"/>
          <w:lang w:val="en-US" w:eastAsia="zh-CN" w:bidi="ar"/>
        </w:rPr>
        <w:t xml:space="preserve"> </w:t>
      </w:r>
      <w:r>
        <w:rPr>
          <w:rFonts w:hint="eastAsia" w:ascii="仿宋" w:hAnsi="仿宋" w:eastAsia="仿宋" w:cs="仿宋"/>
          <w:b/>
          <w:color w:val="auto"/>
          <w:kern w:val="0"/>
          <w:sz w:val="31"/>
          <w:szCs w:val="31"/>
          <w:lang w:val="en-US" w:eastAsia="zh-CN" w:bidi="ar"/>
        </w:rPr>
        <w:t>（1）一般行政管理事务。</w:t>
      </w:r>
      <w:r>
        <w:rPr>
          <w:rFonts w:hint="eastAsia" w:ascii="仿宋" w:hAnsi="仿宋" w:eastAsia="仿宋" w:cs="仿宋"/>
          <w:b w:val="0"/>
          <w:bCs/>
          <w:color w:val="auto"/>
          <w:kern w:val="0"/>
          <w:sz w:val="31"/>
          <w:szCs w:val="31"/>
          <w:lang w:val="en-US" w:eastAsia="zh-CN" w:bidi="ar"/>
        </w:rPr>
        <w:t>年初预算为5万元，项目支出决算为5万元，</w:t>
      </w:r>
      <w:r>
        <w:rPr>
          <w:rFonts w:hint="eastAsia" w:ascii="仿宋" w:hAnsi="仿宋" w:eastAsia="仿宋" w:cs="仿宋"/>
          <w:color w:val="auto"/>
          <w:kern w:val="0"/>
          <w:sz w:val="31"/>
          <w:szCs w:val="31"/>
          <w:lang w:val="en-US" w:eastAsia="zh-CN" w:bidi="ar"/>
        </w:rPr>
        <w:t>完成年初预算的100%</w:t>
      </w:r>
      <w:r>
        <w:rPr>
          <w:rFonts w:hint="eastAsia" w:ascii="仿宋" w:hAnsi="仿宋" w:eastAsia="仿宋" w:cs="仿宋"/>
          <w:b w:val="0"/>
          <w:bCs/>
          <w:color w:val="auto"/>
          <w:kern w:val="0"/>
          <w:sz w:val="31"/>
          <w:szCs w:val="31"/>
          <w:lang w:val="en-US" w:eastAsia="zh-CN" w:bidi="ar"/>
        </w:rPr>
        <w:t>。</w:t>
      </w:r>
    </w:p>
    <w:p>
      <w:pPr>
        <w:keepNext w:val="0"/>
        <w:keepLines w:val="0"/>
        <w:widowControl/>
        <w:numPr>
          <w:ilvl w:val="0"/>
          <w:numId w:val="0"/>
        </w:numPr>
        <w:suppressLineNumbers w:val="0"/>
        <w:ind w:firstLine="622" w:firstLineChars="200"/>
        <w:jc w:val="both"/>
        <w:rPr>
          <w:rFonts w:hint="eastAsia" w:ascii="仿宋" w:hAnsi="仿宋" w:eastAsia="仿宋" w:cs="仿宋"/>
          <w:b w:val="0"/>
          <w:bCs/>
          <w:color w:val="auto"/>
          <w:kern w:val="0"/>
          <w:sz w:val="31"/>
          <w:szCs w:val="31"/>
          <w:lang w:val="en-US" w:eastAsia="zh-CN" w:bidi="ar"/>
        </w:rPr>
      </w:pPr>
      <w:r>
        <w:rPr>
          <w:rFonts w:hint="eastAsia" w:ascii="仿宋" w:hAnsi="仿宋" w:eastAsia="仿宋" w:cs="仿宋"/>
          <w:b/>
          <w:color w:val="auto"/>
          <w:kern w:val="0"/>
          <w:sz w:val="31"/>
          <w:szCs w:val="31"/>
          <w:lang w:val="en-US" w:eastAsia="zh-CN" w:bidi="ar"/>
        </w:rPr>
        <w:t>（2）处理医疗欠款。</w:t>
      </w:r>
      <w:r>
        <w:rPr>
          <w:rFonts w:hint="eastAsia" w:ascii="仿宋" w:hAnsi="仿宋" w:eastAsia="仿宋" w:cs="仿宋"/>
          <w:b w:val="0"/>
          <w:bCs/>
          <w:color w:val="auto"/>
          <w:kern w:val="0"/>
          <w:sz w:val="31"/>
          <w:szCs w:val="31"/>
          <w:lang w:val="en-US" w:eastAsia="zh-CN" w:bidi="ar"/>
        </w:rPr>
        <w:t>年初预算为1万元，项目支出决算为1万元，</w:t>
      </w:r>
      <w:r>
        <w:rPr>
          <w:rFonts w:hint="eastAsia" w:ascii="仿宋" w:hAnsi="仿宋" w:eastAsia="仿宋" w:cs="仿宋"/>
          <w:color w:val="auto"/>
          <w:kern w:val="0"/>
          <w:sz w:val="31"/>
          <w:szCs w:val="31"/>
          <w:lang w:val="en-US" w:eastAsia="zh-CN" w:bidi="ar"/>
        </w:rPr>
        <w:t>完成年初预算的100%</w:t>
      </w:r>
      <w:r>
        <w:rPr>
          <w:rFonts w:hint="eastAsia" w:ascii="仿宋" w:hAnsi="仿宋" w:eastAsia="仿宋" w:cs="仿宋"/>
          <w:b w:val="0"/>
          <w:bCs/>
          <w:color w:val="auto"/>
          <w:kern w:val="0"/>
          <w:sz w:val="31"/>
          <w:szCs w:val="31"/>
          <w:lang w:val="en-US" w:eastAsia="zh-CN" w:bidi="ar"/>
        </w:rPr>
        <w:t>。</w:t>
      </w:r>
    </w:p>
    <w:p>
      <w:pPr>
        <w:keepNext w:val="0"/>
        <w:keepLines w:val="0"/>
        <w:widowControl/>
        <w:numPr>
          <w:ilvl w:val="0"/>
          <w:numId w:val="0"/>
        </w:numPr>
        <w:suppressLineNumbers w:val="0"/>
        <w:ind w:firstLine="622" w:firstLineChars="200"/>
        <w:jc w:val="both"/>
        <w:rPr>
          <w:rFonts w:hint="eastAsia" w:ascii="仿宋" w:hAnsi="仿宋" w:eastAsia="仿宋" w:cs="仿宋"/>
          <w:b w:val="0"/>
          <w:bCs/>
          <w:color w:val="auto"/>
          <w:kern w:val="0"/>
          <w:sz w:val="31"/>
          <w:szCs w:val="31"/>
          <w:lang w:val="en-US" w:eastAsia="zh-CN" w:bidi="ar"/>
        </w:rPr>
      </w:pPr>
      <w:r>
        <w:rPr>
          <w:rFonts w:hint="eastAsia" w:ascii="仿宋" w:hAnsi="仿宋" w:eastAsia="仿宋" w:cs="仿宋"/>
          <w:b/>
          <w:color w:val="auto"/>
          <w:kern w:val="0"/>
          <w:sz w:val="31"/>
          <w:szCs w:val="31"/>
          <w:lang w:val="en-US" w:eastAsia="zh-CN" w:bidi="ar"/>
        </w:rPr>
        <w:t>（3）其他公立医院支出。</w:t>
      </w:r>
      <w:r>
        <w:rPr>
          <w:rFonts w:hint="eastAsia" w:ascii="仿宋" w:hAnsi="仿宋" w:eastAsia="仿宋" w:cs="仿宋"/>
          <w:b w:val="0"/>
          <w:bCs/>
          <w:color w:val="auto"/>
          <w:kern w:val="0"/>
          <w:sz w:val="31"/>
          <w:szCs w:val="31"/>
          <w:lang w:val="en-US" w:eastAsia="zh-CN" w:bidi="ar"/>
        </w:rPr>
        <w:t>年初预算为326万元，基本支出决算250万元，项目支出决算为76万元，</w:t>
      </w:r>
      <w:r>
        <w:rPr>
          <w:rFonts w:hint="eastAsia" w:ascii="仿宋" w:hAnsi="仿宋" w:eastAsia="仿宋" w:cs="仿宋"/>
          <w:color w:val="auto"/>
          <w:kern w:val="0"/>
          <w:sz w:val="31"/>
          <w:szCs w:val="31"/>
          <w:lang w:val="en-US" w:eastAsia="zh-CN" w:bidi="ar"/>
        </w:rPr>
        <w:t>完成年初预算的100%</w:t>
      </w:r>
      <w:r>
        <w:rPr>
          <w:rFonts w:hint="eastAsia" w:ascii="仿宋" w:hAnsi="仿宋" w:eastAsia="仿宋" w:cs="仿宋"/>
          <w:b w:val="0"/>
          <w:bCs/>
          <w:color w:val="auto"/>
          <w:kern w:val="0"/>
          <w:sz w:val="31"/>
          <w:szCs w:val="31"/>
          <w:lang w:val="en-US" w:eastAsia="zh-CN" w:bidi="ar"/>
        </w:rPr>
        <w:t>。</w:t>
      </w:r>
    </w:p>
    <w:p>
      <w:pPr>
        <w:keepNext w:val="0"/>
        <w:keepLines w:val="0"/>
        <w:widowControl/>
        <w:numPr>
          <w:ilvl w:val="0"/>
          <w:numId w:val="0"/>
        </w:numPr>
        <w:suppressLineNumbers w:val="0"/>
        <w:ind w:firstLine="622" w:firstLineChars="200"/>
        <w:jc w:val="both"/>
        <w:rPr>
          <w:rFonts w:hint="eastAsia" w:ascii="仿宋" w:hAnsi="仿宋" w:eastAsia="仿宋" w:cs="仿宋"/>
          <w:b w:val="0"/>
          <w:bCs/>
          <w:color w:val="auto"/>
          <w:kern w:val="0"/>
          <w:sz w:val="31"/>
          <w:szCs w:val="31"/>
          <w:lang w:val="en-US" w:eastAsia="zh-CN" w:bidi="ar"/>
        </w:rPr>
      </w:pPr>
      <w:r>
        <w:rPr>
          <w:rFonts w:hint="eastAsia" w:ascii="仿宋" w:hAnsi="仿宋" w:eastAsia="仿宋" w:cs="仿宋"/>
          <w:b/>
          <w:color w:val="auto"/>
          <w:kern w:val="0"/>
          <w:sz w:val="31"/>
          <w:szCs w:val="31"/>
          <w:lang w:val="en-US" w:eastAsia="zh-CN" w:bidi="ar"/>
        </w:rPr>
        <w:t>（4）其他基层医疗卫生机构支出。</w:t>
      </w:r>
      <w:r>
        <w:rPr>
          <w:rFonts w:hint="eastAsia" w:ascii="仿宋" w:hAnsi="仿宋" w:eastAsia="仿宋" w:cs="仿宋"/>
          <w:b w:val="0"/>
          <w:bCs/>
          <w:color w:val="auto"/>
          <w:kern w:val="0"/>
          <w:sz w:val="31"/>
          <w:szCs w:val="31"/>
          <w:lang w:val="en-US" w:eastAsia="zh-CN" w:bidi="ar"/>
        </w:rPr>
        <w:t>年初预算为358.87万元，项目支出决算为358.87万元，</w:t>
      </w:r>
      <w:r>
        <w:rPr>
          <w:rFonts w:hint="eastAsia" w:ascii="仿宋" w:hAnsi="仿宋" w:eastAsia="仿宋" w:cs="仿宋"/>
          <w:color w:val="auto"/>
          <w:kern w:val="0"/>
          <w:sz w:val="31"/>
          <w:szCs w:val="31"/>
          <w:lang w:val="en-US" w:eastAsia="zh-CN" w:bidi="ar"/>
        </w:rPr>
        <w:t>完成年初预算的100%</w:t>
      </w:r>
      <w:r>
        <w:rPr>
          <w:rFonts w:hint="eastAsia" w:ascii="仿宋" w:hAnsi="仿宋" w:eastAsia="仿宋" w:cs="仿宋"/>
          <w:b w:val="0"/>
          <w:bCs/>
          <w:color w:val="auto"/>
          <w:kern w:val="0"/>
          <w:sz w:val="31"/>
          <w:szCs w:val="31"/>
          <w:lang w:val="en-US" w:eastAsia="zh-CN" w:bidi="ar"/>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ind w:firstLine="640"/>
        <w:jc w:val="left"/>
        <w:rPr>
          <w:rFonts w:ascii="仿宋" w:hAnsi="仿宋" w:eastAsia="仿宋" w:cs="仿宋"/>
          <w:sz w:val="36"/>
          <w:szCs w:val="36"/>
          <w:lang w:val="zh-CN"/>
        </w:rPr>
      </w:pPr>
      <w:r>
        <w:rPr>
          <w:rFonts w:hint="eastAsia" w:ascii="仿宋" w:hAnsi="仿宋" w:eastAsia="仿宋" w:cs="仿宋"/>
          <w:sz w:val="32"/>
          <w:szCs w:val="32"/>
        </w:rPr>
        <w:t>2</w:t>
      </w:r>
      <w:r>
        <w:rPr>
          <w:rFonts w:hint="eastAsia" w:ascii="仿宋" w:hAnsi="仿宋" w:eastAsia="仿宋" w:cs="仿宋"/>
          <w:sz w:val="32"/>
          <w:szCs w:val="32"/>
          <w:lang w:val="zh-CN"/>
        </w:rPr>
        <w:t>02</w:t>
      </w:r>
      <w:r>
        <w:rPr>
          <w:rFonts w:hint="eastAsia" w:ascii="仿宋" w:hAnsi="仿宋" w:eastAsia="仿宋" w:cs="仿宋"/>
          <w:sz w:val="32"/>
          <w:szCs w:val="32"/>
        </w:rPr>
        <w:t>1</w:t>
      </w:r>
      <w:r>
        <w:rPr>
          <w:rFonts w:hint="eastAsia" w:ascii="仿宋" w:hAnsi="仿宋" w:eastAsia="仿宋" w:cs="仿宋"/>
          <w:sz w:val="32"/>
          <w:szCs w:val="32"/>
          <w:lang w:val="zh-CN"/>
        </w:rPr>
        <w:t>年度一般公共预算财政拨款基本支出</w:t>
      </w:r>
      <w:r>
        <w:rPr>
          <w:rFonts w:hint="eastAsia" w:ascii="仿宋" w:hAnsi="仿宋" w:eastAsia="仿宋" w:cs="仿宋"/>
          <w:sz w:val="32"/>
          <w:szCs w:val="32"/>
        </w:rPr>
        <w:t>1739.14</w:t>
      </w:r>
      <w:r>
        <w:rPr>
          <w:rFonts w:hint="eastAsia" w:ascii="仿宋" w:hAnsi="仿宋" w:eastAsia="仿宋" w:cs="仿宋"/>
          <w:sz w:val="32"/>
          <w:szCs w:val="32"/>
          <w:lang w:val="zh-CN"/>
        </w:rPr>
        <w:t>万元。其中：人员经费</w:t>
      </w:r>
      <w:r>
        <w:rPr>
          <w:rFonts w:hint="eastAsia" w:ascii="仿宋" w:hAnsi="仿宋" w:eastAsia="仿宋" w:cs="仿宋"/>
          <w:sz w:val="32"/>
          <w:szCs w:val="32"/>
        </w:rPr>
        <w:t>1489.14</w:t>
      </w:r>
      <w:r>
        <w:rPr>
          <w:rFonts w:hint="eastAsia" w:ascii="仿宋" w:hAnsi="仿宋" w:eastAsia="仿宋" w:cs="仿宋"/>
          <w:sz w:val="32"/>
          <w:szCs w:val="32"/>
          <w:lang w:val="zh-CN"/>
        </w:rPr>
        <w:t>万元，主要包括：基本工资、津贴补贴、伙食补助费、绩效工资、机关事业单位基本养老保险缴费、职业年金缴费、其他社会保障缴费、其他工资福利支出、离休费、退休费、抚恤金、生活补助、医疗费、离休费、退休费、奖励金、住房公积金、采暖补贴、物业服务补贴、其他对个人和家庭的补助支出；公用经费</w:t>
      </w:r>
      <w:r>
        <w:rPr>
          <w:rFonts w:hint="eastAsia" w:ascii="仿宋" w:hAnsi="仿宋" w:eastAsia="仿宋" w:cs="仿宋"/>
          <w:sz w:val="32"/>
          <w:szCs w:val="32"/>
        </w:rPr>
        <w:t>250</w:t>
      </w:r>
      <w:r>
        <w:rPr>
          <w:rFonts w:hint="eastAsia" w:ascii="仿宋" w:hAnsi="仿宋" w:eastAsia="仿宋" w:cs="仿宋"/>
          <w:sz w:val="32"/>
          <w:szCs w:val="32"/>
          <w:lang w:val="zh-CN"/>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w:t>
      </w:r>
      <w:r>
        <w:rPr>
          <w:rFonts w:hint="eastAsia" w:ascii="仿宋" w:hAnsi="仿宋" w:eastAsia="仿宋" w:cs="仿宋"/>
          <w:sz w:val="36"/>
          <w:szCs w:val="36"/>
          <w:lang w:val="zh-CN"/>
        </w:rPr>
        <w:t>络及软件购置更新、其他资本性支出。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ind w:firstLine="640"/>
        <w:jc w:val="left"/>
        <w:rPr>
          <w:rFonts w:hint="eastAsia" w:ascii="仿宋_GB2312" w:hAnsi="仿宋_GB2312" w:eastAsia="仿宋_GB2312" w:cs="仿宋_GB2312"/>
          <w:sz w:val="32"/>
          <w:szCs w:val="32"/>
        </w:rPr>
      </w:pPr>
      <w:r>
        <w:rPr>
          <w:rFonts w:hint="eastAsia" w:ascii="仿宋" w:hAnsi="仿宋" w:eastAsia="仿宋" w:cs="仿宋"/>
          <w:sz w:val="32"/>
          <w:szCs w:val="32"/>
          <w:lang w:val="zh-CN"/>
        </w:rPr>
        <w:t>202</w:t>
      </w:r>
      <w:r>
        <w:rPr>
          <w:rFonts w:hint="eastAsia" w:ascii="仿宋" w:hAnsi="仿宋" w:eastAsia="仿宋" w:cs="仿宋"/>
          <w:sz w:val="32"/>
          <w:szCs w:val="32"/>
        </w:rPr>
        <w:t>1</w:t>
      </w:r>
      <w:r>
        <w:rPr>
          <w:rFonts w:hint="eastAsia" w:ascii="仿宋" w:hAnsi="仿宋" w:eastAsia="仿宋" w:cs="仿宋"/>
          <w:sz w:val="32"/>
          <w:szCs w:val="32"/>
          <w:lang w:val="zh-CN"/>
        </w:rPr>
        <w:t>年度我院无使用一般公共预算财政拨款安排的“三公”经费支出。</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万元；公务用车购置及运行费支出决算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0万</w:t>
      </w:r>
      <w:r>
        <w:rPr>
          <w:rFonts w:hint="eastAsia" w:ascii="仿宋_GB2312" w:hAnsi="仿宋_GB2312" w:eastAsia="仿宋_GB2312" w:cs="仿宋_GB2312"/>
          <w:sz w:val="32"/>
          <w:szCs w:val="32"/>
        </w:rPr>
        <w:t>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%。具体情况如下：</w:t>
      </w:r>
    </w:p>
    <w:p>
      <w:pPr>
        <w:widowControl/>
        <w:spacing w:line="590" w:lineRule="exact"/>
        <w:ind w:firstLine="643"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b/>
          <w:bCs/>
          <w:color w:val="auto"/>
          <w:sz w:val="32"/>
          <w:szCs w:val="32"/>
        </w:rPr>
        <w:t>1．因公出国（境）费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r>
        <w:rPr>
          <w:rFonts w:ascii="仿宋_GB2312" w:hAnsi="宋体" w:eastAsia="仿宋_GB2312" w:cs="仿宋_GB2312"/>
          <w:i w:val="0"/>
          <w:iCs w:val="0"/>
          <w:caps w:val="0"/>
          <w:color w:val="404133"/>
          <w:spacing w:val="0"/>
          <w:sz w:val="31"/>
          <w:szCs w:val="31"/>
          <w:shd w:val="clear" w:color="auto" w:fill="FFFFFF"/>
        </w:rPr>
        <w:t>全年因公出国（境）团组0个，累计0人次。</w:t>
      </w:r>
    </w:p>
    <w:p>
      <w:pPr>
        <w:widowControl/>
        <w:spacing w:line="590" w:lineRule="exact"/>
        <w:ind w:firstLine="643" w:firstLineChars="200"/>
        <w:rPr>
          <w:rFonts w:hint="eastAsia" w:ascii="仿宋" w:hAnsi="仿宋" w:eastAsia="仿宋_GB2312" w:cs="仿宋"/>
          <w:i w:val="0"/>
          <w:iCs w:val="0"/>
          <w:caps w:val="0"/>
          <w:color w:val="000000"/>
          <w:spacing w:val="0"/>
          <w:sz w:val="31"/>
          <w:szCs w:val="31"/>
          <w:shd w:val="clear" w:color="auto" w:fill="FFFFFF"/>
          <w:lang w:eastAsia="zh-CN"/>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numPr>
          <w:ilvl w:val="0"/>
          <w:numId w:val="3"/>
        </w:numPr>
        <w:spacing w:line="590" w:lineRule="exact"/>
        <w:ind w:firstLine="643" w:firstLineChars="200"/>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rPr>
        <w:t>公务接待费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widowControl/>
        <w:numPr>
          <w:ilvl w:val="0"/>
          <w:numId w:val="0"/>
        </w:numPr>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其中：</w:t>
      </w:r>
    </w:p>
    <w:p>
      <w:pPr>
        <w:widowControl/>
        <w:numPr>
          <w:ilvl w:val="0"/>
          <w:numId w:val="0"/>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p>
    <w:p>
      <w:pPr>
        <w:widowControl/>
        <w:numPr>
          <w:ilvl w:val="0"/>
          <w:numId w:val="0"/>
        </w:numPr>
        <w:spacing w:line="59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其他国内公务接待</w:t>
      </w:r>
      <w:r>
        <w:rPr>
          <w:rFonts w:hint="eastAsia" w:ascii="仿宋_GB2312" w:hAnsi="仿宋_GB2312" w:eastAsia="仿宋_GB2312" w:cs="仿宋_GB2312"/>
          <w:b w:val="0"/>
          <w:bCs w:val="0"/>
          <w:color w:val="auto"/>
          <w:sz w:val="32"/>
          <w:szCs w:val="32"/>
        </w:rPr>
        <w:t>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p>
    <w:p>
      <w:pPr>
        <w:ind w:firstLine="640"/>
        <w:jc w:val="left"/>
        <w:rPr>
          <w:rFonts w:hint="eastAsia" w:ascii="仿宋_GB2312" w:hAnsi="仿宋_GB2312" w:eastAsia="仿宋_GB2312" w:cs="仿宋_GB2312"/>
          <w:sz w:val="32"/>
          <w:szCs w:val="32"/>
        </w:rPr>
      </w:pPr>
    </w:p>
    <w:p>
      <w:pPr>
        <w:ind w:firstLine="640"/>
        <w:jc w:val="left"/>
        <w:rPr>
          <w:rFonts w:ascii="黑体" w:hAnsi="黑体" w:eastAsia="黑体" w:cs="黑体"/>
          <w:sz w:val="32"/>
          <w:szCs w:val="32"/>
        </w:rPr>
      </w:pPr>
      <w:r>
        <w:rPr>
          <w:rFonts w:hint="eastAsia" w:ascii="黑体" w:hAnsi="黑体" w:eastAsia="黑体" w:cs="黑体"/>
          <w:sz w:val="32"/>
          <w:szCs w:val="32"/>
        </w:rPr>
        <w:t>八、预算绩效情况说明</w:t>
      </w:r>
    </w:p>
    <w:p>
      <w:pPr>
        <w:pStyle w:val="4"/>
        <w:widowControl/>
        <w:wordWrap w:val="0"/>
        <w:spacing w:beforeAutospacing="0" w:afterAutospacing="0" w:line="360" w:lineRule="auto"/>
        <w:ind w:firstLine="42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（一）绩效管理工作开展情况</w:t>
      </w:r>
    </w:p>
    <w:p>
      <w:pPr>
        <w:pStyle w:val="4"/>
        <w:widowControl/>
        <w:wordWrap w:val="0"/>
        <w:spacing w:beforeAutospacing="0" w:afterAutospacing="0" w:line="360" w:lineRule="auto"/>
        <w:ind w:firstLine="640" w:firstLineChars="200"/>
        <w:rPr>
          <w:rFonts w:ascii="仿宋_GB2312" w:hAnsi="仿宋_GB2312" w:eastAsia="仿宋_GB2312" w:cs="仿宋_GB2312"/>
          <w:color w:val="000000"/>
          <w:sz w:val="32"/>
          <w:szCs w:val="32"/>
        </w:rPr>
      </w:pPr>
      <w:r>
        <w:rPr>
          <w:rFonts w:hint="eastAsia" w:ascii="仿宋" w:hAnsi="仿宋" w:eastAsia="仿宋" w:cs="仿宋"/>
          <w:color w:val="000000"/>
          <w:sz w:val="32"/>
          <w:szCs w:val="32"/>
          <w:lang w:bidi="ar"/>
        </w:rPr>
        <w:t>2021年度，我单位</w:t>
      </w:r>
      <w:r>
        <w:rPr>
          <w:rFonts w:ascii="仿宋" w:hAnsi="仿宋" w:eastAsia="仿宋" w:cs="仿宋"/>
          <w:color w:val="000000"/>
          <w:sz w:val="32"/>
          <w:szCs w:val="32"/>
          <w:lang w:bidi="ar"/>
        </w:rPr>
        <w:t>按照财政部门</w:t>
      </w:r>
      <w:r>
        <w:rPr>
          <w:rFonts w:hint="eastAsia" w:ascii="仿宋" w:hAnsi="仿宋" w:eastAsia="仿宋" w:cs="仿宋"/>
          <w:color w:val="000000"/>
          <w:sz w:val="32"/>
          <w:szCs w:val="32"/>
          <w:lang w:bidi="ar"/>
        </w:rPr>
        <w:t>对绩效管理工作的要求，对</w:t>
      </w:r>
      <w:r>
        <w:rPr>
          <w:rFonts w:hint="eastAsia" w:ascii="仿宋_GB2312" w:hAnsi="仿宋_GB2312" w:eastAsia="仿宋_GB2312" w:cs="仿宋_GB2312"/>
          <w:color w:val="000000"/>
          <w:sz w:val="32"/>
          <w:szCs w:val="32"/>
        </w:rPr>
        <w:t>所有财政项目设立了绩效目标和绩效考核指标，并对所有财政资金项目进行绩效评价，使财政资金充分发挥了使用效益。</w:t>
      </w:r>
    </w:p>
    <w:p>
      <w:pPr>
        <w:pStyle w:val="4"/>
        <w:widowControl/>
        <w:wordWrap w:val="0"/>
        <w:spacing w:beforeAutospacing="0" w:afterAutospacing="0" w:line="360" w:lineRule="auto"/>
        <w:ind w:firstLine="42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（二）项目绩效自评结果</w:t>
      </w:r>
    </w:p>
    <w:p>
      <w:pPr>
        <w:pStyle w:val="4"/>
        <w:widowControl/>
        <w:wordWrap w:val="0"/>
        <w:spacing w:beforeAutospacing="0" w:afterAutospacing="0" w:line="360" w:lineRule="auto"/>
        <w:ind w:firstLine="640" w:firstLineChars="200"/>
        <w:rPr>
          <w:rFonts w:ascii="仿宋" w:hAnsi="仿宋" w:eastAsia="仿宋" w:cs="仿宋"/>
          <w:color w:val="000000"/>
          <w:sz w:val="32"/>
          <w:szCs w:val="32"/>
          <w:lang w:bidi="ar"/>
        </w:rPr>
      </w:pPr>
      <w:r>
        <w:rPr>
          <w:rFonts w:hint="eastAsia" w:ascii="仿宋" w:hAnsi="仿宋" w:eastAsia="仿宋" w:cs="仿宋"/>
          <w:color w:val="000000"/>
          <w:sz w:val="32"/>
          <w:szCs w:val="32"/>
          <w:lang w:bidi="ar"/>
        </w:rPr>
        <w:t>2021年度我院纳入预算的专项资金通过绩效指标的考核，实现了年初既定的绩效目标。</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没有政府性基金收入，也没有使用政府性基金安排的支出</w:t>
      </w:r>
      <w:r>
        <w:rPr>
          <w:rFonts w:hint="eastAsia" w:ascii="仿宋_GB2312" w:hAnsi="仿宋_GB2312" w:eastAsia="仿宋_GB2312" w:cs="仿宋_GB2312"/>
          <w:sz w:val="32"/>
          <w:szCs w:val="32"/>
          <w:lang w:eastAsia="zh-CN"/>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pStyle w:val="4"/>
        <w:widowControl/>
        <w:wordWrap w:val="0"/>
        <w:spacing w:beforeAutospacing="0" w:afterAutospacing="0" w:line="360" w:lineRule="auto"/>
        <w:ind w:firstLine="640" w:firstLineChars="200"/>
        <w:rPr>
          <w:rFonts w:ascii="仿宋" w:hAnsi="仿宋" w:eastAsia="仿宋" w:cs="仿宋"/>
          <w:color w:val="000000"/>
          <w:sz w:val="32"/>
          <w:szCs w:val="32"/>
          <w:lang w:bidi="ar"/>
        </w:rPr>
      </w:pPr>
      <w:r>
        <w:rPr>
          <w:rFonts w:hint="eastAsia" w:ascii="仿宋" w:hAnsi="仿宋" w:eastAsia="仿宋" w:cs="仿宋"/>
          <w:color w:val="000000"/>
          <w:sz w:val="32"/>
          <w:szCs w:val="32"/>
          <w:lang w:bidi="ar"/>
        </w:rPr>
        <w:t>2021年度我院无机关运行经费安排的支出。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pStyle w:val="4"/>
        <w:widowControl/>
        <w:wordWrap w:val="0"/>
        <w:spacing w:beforeAutospacing="0" w:afterAutospacing="0" w:line="360" w:lineRule="auto"/>
        <w:ind w:firstLine="640" w:firstLineChars="200"/>
        <w:rPr>
          <w:rFonts w:ascii="仿宋" w:hAnsi="仿宋" w:eastAsia="仿宋" w:cs="仿宋"/>
          <w:color w:val="000000"/>
          <w:sz w:val="32"/>
          <w:szCs w:val="32"/>
          <w:lang w:bidi="ar"/>
        </w:rPr>
      </w:pPr>
      <w:r>
        <w:rPr>
          <w:rFonts w:hint="eastAsia" w:ascii="仿宋" w:hAnsi="仿宋" w:eastAsia="仿宋" w:cs="仿宋"/>
          <w:color w:val="000000"/>
          <w:sz w:val="32"/>
          <w:szCs w:val="32"/>
          <w:lang w:bidi="ar"/>
        </w:rPr>
        <w:t>2021年度我院政府采购支出总额5033.98万元，其中：政府采购货物支出1902.86万元，政府采购工程支出831.51万元，政府采购信息支出2299.61万元。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ind w:firstLine="640" w:firstLineChars="200"/>
        <w:jc w:val="left"/>
        <w:rPr>
          <w:rFonts w:ascii="黑体" w:hAnsi="宋体" w:eastAsia="黑体" w:cs="宋体"/>
          <w:kern w:val="0"/>
          <w:sz w:val="28"/>
          <w:szCs w:val="28"/>
        </w:rPr>
      </w:pPr>
      <w:r>
        <w:rPr>
          <w:rFonts w:ascii="仿宋_GB2312" w:hAnsi="宋体" w:eastAsia="仿宋_GB2312" w:cs="Courier New"/>
          <w:sz w:val="32"/>
          <w:szCs w:val="32"/>
        </w:rPr>
        <w:t>20</w:t>
      </w:r>
      <w:r>
        <w:rPr>
          <w:rFonts w:hint="eastAsia" w:ascii="仿宋_GB2312" w:hAnsi="宋体" w:eastAsia="仿宋_GB2312" w:cs="Courier New"/>
          <w:sz w:val="32"/>
          <w:szCs w:val="32"/>
        </w:rPr>
        <w:t>21年期末，我单位共有车辆</w:t>
      </w:r>
      <w:r>
        <w:rPr>
          <w:rFonts w:hint="eastAsia" w:ascii="仿宋_GB2312" w:eastAsia="仿宋_GB2312"/>
          <w:sz w:val="32"/>
          <w:szCs w:val="32"/>
        </w:rPr>
        <w:t>28</w:t>
      </w:r>
      <w:r>
        <w:rPr>
          <w:rFonts w:hint="eastAsia" w:ascii="仿宋_GB2312" w:hAnsi="宋体" w:eastAsia="仿宋_GB2312" w:cs="Courier New"/>
          <w:sz w:val="32"/>
          <w:szCs w:val="32"/>
        </w:rPr>
        <w:t>辆，其中：一般公务用车</w:t>
      </w:r>
      <w:r>
        <w:rPr>
          <w:rFonts w:hint="eastAsia" w:ascii="仿宋_GB2312" w:eastAsia="仿宋_GB2312"/>
          <w:sz w:val="32"/>
          <w:szCs w:val="32"/>
        </w:rPr>
        <w:t>12</w:t>
      </w:r>
      <w:r>
        <w:rPr>
          <w:rFonts w:hint="eastAsia" w:ascii="仿宋_GB2312" w:hAnsi="宋体" w:eastAsia="仿宋_GB2312" w:cs="Courier New"/>
          <w:sz w:val="32"/>
          <w:szCs w:val="32"/>
        </w:rPr>
        <w:t>辆、特种专业技术用车</w:t>
      </w:r>
      <w:r>
        <w:rPr>
          <w:rFonts w:hint="eastAsia" w:ascii="仿宋_GB2312" w:eastAsia="仿宋_GB2312"/>
          <w:sz w:val="32"/>
          <w:szCs w:val="32"/>
        </w:rPr>
        <w:t>15</w:t>
      </w:r>
      <w:r>
        <w:rPr>
          <w:rFonts w:hint="eastAsia" w:ascii="仿宋_GB2312" w:hAnsi="宋体" w:eastAsia="仿宋_GB2312" w:cs="Courier New"/>
          <w:sz w:val="32"/>
          <w:szCs w:val="32"/>
        </w:rPr>
        <w:t>辆，其他用车</w:t>
      </w:r>
      <w:r>
        <w:rPr>
          <w:rFonts w:hint="eastAsia" w:ascii="仿宋_GB2312" w:eastAsia="仿宋_GB2312"/>
          <w:sz w:val="32"/>
          <w:szCs w:val="32"/>
        </w:rPr>
        <w:t>1</w:t>
      </w:r>
      <w:r>
        <w:rPr>
          <w:rFonts w:hint="eastAsia" w:ascii="仿宋_GB2312" w:hAnsi="宋体" w:eastAsia="仿宋_GB2312" w:cs="Courier New"/>
          <w:sz w:val="32"/>
          <w:szCs w:val="32"/>
        </w:rPr>
        <w:t>辆，其他用车主要是电动观光车，用于接送病人；单价</w:t>
      </w:r>
      <w:r>
        <w:rPr>
          <w:rFonts w:ascii="仿宋_GB2312" w:hAnsi="宋体" w:eastAsia="仿宋_GB2312" w:cs="Courier New"/>
          <w:sz w:val="32"/>
          <w:szCs w:val="32"/>
        </w:rPr>
        <w:t>50</w:t>
      </w:r>
      <w:r>
        <w:rPr>
          <w:rFonts w:hint="eastAsia" w:ascii="仿宋_GB2312" w:hAnsi="宋体" w:eastAsia="仿宋_GB2312" w:cs="Courier New"/>
          <w:sz w:val="32"/>
          <w:szCs w:val="32"/>
        </w:rPr>
        <w:t>万元以上通用设备</w:t>
      </w:r>
      <w:r>
        <w:rPr>
          <w:rFonts w:hint="eastAsia" w:ascii="仿宋_GB2312" w:eastAsia="仿宋_GB2312"/>
          <w:sz w:val="32"/>
          <w:szCs w:val="32"/>
        </w:rPr>
        <w:t>71</w:t>
      </w:r>
      <w:r>
        <w:rPr>
          <w:rFonts w:hint="eastAsia" w:ascii="仿宋_GB2312" w:hAnsi="宋体" w:eastAsia="仿宋_GB2312" w:cs="Courier New"/>
          <w:sz w:val="32"/>
          <w:szCs w:val="32"/>
        </w:rPr>
        <w:t>台（套），单位价值</w:t>
      </w:r>
      <w:r>
        <w:rPr>
          <w:rFonts w:ascii="仿宋_GB2312" w:hAnsi="宋体" w:eastAsia="仿宋_GB2312" w:cs="Courier New"/>
          <w:sz w:val="32"/>
          <w:szCs w:val="32"/>
        </w:rPr>
        <w:t>100</w:t>
      </w:r>
      <w:r>
        <w:rPr>
          <w:rFonts w:hint="eastAsia" w:ascii="仿宋_GB2312" w:hAnsi="宋体" w:eastAsia="仿宋_GB2312" w:cs="Courier New"/>
          <w:sz w:val="32"/>
          <w:szCs w:val="32"/>
        </w:rPr>
        <w:t>万元以上专用设备</w:t>
      </w:r>
      <w:r>
        <w:rPr>
          <w:rFonts w:hint="eastAsia" w:ascii="仿宋_GB2312" w:eastAsia="仿宋_GB2312"/>
          <w:sz w:val="32"/>
          <w:szCs w:val="32"/>
        </w:rPr>
        <w:t>46</w:t>
      </w:r>
      <w:r>
        <w:rPr>
          <w:rFonts w:hint="eastAsia" w:ascii="仿宋_GB2312" w:hAnsi="宋体" w:eastAsia="仿宋_GB2312" w:cs="Courier New"/>
          <w:sz w:val="32"/>
          <w:szCs w:val="32"/>
        </w:rPr>
        <w:t>台（套）。</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一、财政拨款收入：单位从同级政府财政部门取得的财政预算资金。</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二、事业收入：事业单位开展专业业务活动及其辅助活动取得的收入。</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三、上级补助收入：事业单位从主管部门和上级单位取得的非财政补助收入。</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四、附属单位上缴收入：事业单位取得附属独立核算单位根据有关规定上缴的收入。</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八、基本支出：为保障机构正常运转、完成日常工作任务而发生的人员支出和公用支出。</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九、项目支出：基本支出之外为完成特定行政任务和事业发展目标所发生的支出。</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十三、商品和服务支出：单位购买商品和服务的支出。</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十四、对个人和家庭的补助支出：单位用于对个人和家庭的补助支出。</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- 20 -</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- 20 -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8C8F17"/>
    <w:multiLevelType w:val="singleLevel"/>
    <w:tmpl w:val="A58C8F17"/>
    <w:lvl w:ilvl="0" w:tentative="0">
      <w:start w:val="5"/>
      <w:numFmt w:val="chineseCounting"/>
      <w:suff w:val="nothing"/>
      <w:lvlText w:val="%1、"/>
      <w:lvlJc w:val="left"/>
      <w:rPr>
        <w:rFonts w:hint="eastAsia"/>
      </w:rPr>
    </w:lvl>
  </w:abstractNum>
  <w:abstractNum w:abstractNumId="1">
    <w:nsid w:val="33B55152"/>
    <w:multiLevelType w:val="singleLevel"/>
    <w:tmpl w:val="33B55152"/>
    <w:lvl w:ilvl="0" w:tentative="0">
      <w:start w:val="3"/>
      <w:numFmt w:val="chineseCounting"/>
      <w:suff w:val="nothing"/>
      <w:lvlText w:val="（%1）"/>
      <w:lvlJc w:val="left"/>
      <w:rPr>
        <w:rFonts w:hint="eastAsia"/>
      </w:rPr>
    </w:lvl>
  </w:abstractNum>
  <w:abstractNum w:abstractNumId="2">
    <w:nsid w:val="36055799"/>
    <w:multiLevelType w:val="singleLevel"/>
    <w:tmpl w:val="36055799"/>
    <w:lvl w:ilvl="0" w:tentative="0">
      <w:start w:val="3"/>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N2FlYjdmZTFiNDE1ZDE2YTc2N2FiZTNlMTg5NDAifQ=="/>
  </w:docVars>
  <w:rsids>
    <w:rsidRoot w:val="00CF3656"/>
    <w:rsid w:val="000C10F8"/>
    <w:rsid w:val="006F38DE"/>
    <w:rsid w:val="00CF3656"/>
    <w:rsid w:val="02097C40"/>
    <w:rsid w:val="028B36A9"/>
    <w:rsid w:val="05EC0902"/>
    <w:rsid w:val="0CD841C0"/>
    <w:rsid w:val="0EFC6A29"/>
    <w:rsid w:val="14B42E76"/>
    <w:rsid w:val="330B5D82"/>
    <w:rsid w:val="43676ADC"/>
    <w:rsid w:val="44216071"/>
    <w:rsid w:val="454C25A0"/>
    <w:rsid w:val="4D922231"/>
    <w:rsid w:val="52653F05"/>
    <w:rsid w:val="5B101B12"/>
    <w:rsid w:val="706A7177"/>
    <w:rsid w:val="796C1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6505</Words>
  <Characters>8734</Characters>
  <Lines>79</Lines>
  <Paragraphs>22</Paragraphs>
  <TotalTime>1</TotalTime>
  <ScaleCrop>false</ScaleCrop>
  <LinksUpToDate>false</LinksUpToDate>
  <CharactersWithSpaces>8994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2023-03-01T03:52:00Z</dcterms:created>
  <dc:creator>lenovo</dc:creator>
  <cp:lastModifiedBy>Administrator</cp:lastModifiedBy>
  <dcterms:modified xsi:type="dcterms:W3CDTF">2023-05-24T03:35:01Z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6DE3575772C8491387C3085C8CEC6113</vt:lpwstr>
  </property>
</Properties>
</file>